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r>
        <w:rPr>
          <w:sz w:val="16"/>
          <w:szCs w:val="16"/>
        </w:rPr>
        <w:t xml:space="preserve"> </w:t>
      </w:r>
    </w:p>
    <w:p>
      <w:r>
        <w:rPr>
          <w:sz w:val="16"/>
          <w:szCs w:val="16"/>
        </w:rPr>
        <w:t xml:space="preserve"> </w:t>
      </w:r>
    </w:p>
    <w:p>
      <w:r>
        <w:rPr>
          <w:sz w:val="16"/>
          <w:szCs w:val="16"/>
        </w:rPr>
        <w:t xml:space="preserve"> </w:t>
      </w:r>
    </w:p>
    <w:p>
      <w:r>
        <w:rPr>
          <w:sz w:val="16"/>
          <w:szCs w:val="16"/>
        </w:rPr>
        <w:t xml:space="preserve"> </w:t>
      </w:r>
    </w:p>
    <w:p>
      <w:pPr>
        <w:spacing w:after="240"/>
        <w:jc w:val="center"/>
      </w:pPr>
      <w:r>
        <w:rPr>
          <w:b/>
          <w:bCs/>
          <w:color w:val="1F2A44"/>
          <w:sz w:val="96"/>
          <w:szCs w:val="96"/>
        </w:rPr>
        <w:t xml:space="preserve">COUNCIL 10</w:t>
      </w:r>
    </w:p>
    <w:p>
      <w:pPr>
        <w:spacing w:after="480"/>
        <w:jc w:val="center"/>
      </w:pPr>
      <w:r>
        <w:rPr>
          <w:i/>
          <w:iCs/>
          <w:color w:val="D4A574"/>
          <w:sz w:val="28"/>
          <w:szCs w:val="28"/>
        </w:rPr>
        <w:t xml:space="preserve">L'application IA qui vous aide a prendre les bonnes decisions, chaque jour</w:t>
      </w:r>
    </w:p>
    <w:p>
      <w:pPr>
        <w:pBdr>
          <w:bottom w:val="single" w:color="D4A574" w:sz="8" w:space="1"/>
        </w:pBdr>
        <w:spacing w:after="200" w:before="120"/>
      </w:pPr>
      <w:r>
        <w:t xml:space="preserve"/>
      </w:r>
    </w:p>
    <w:p>
      <w:pPr>
        <w:spacing w:after="120"/>
        <w:jc w:val="center"/>
      </w:pPr>
      <w:r>
        <w:rPr>
          <w:color w:val="6B7280"/>
          <w:sz w:val="24"/>
          <w:szCs w:val="24"/>
        </w:rPr>
        <w:t xml:space="preserve">Document strategique complet</w:t>
      </w:r>
    </w:p>
    <w:p>
      <w:pPr>
        <w:spacing w:after="480"/>
        <w:jc w:val="center"/>
      </w:pPr>
      <w:r>
        <w:rPr>
          <w:color w:val="6B7280"/>
          <w:sz w:val="22"/>
          <w:szCs w:val="22"/>
        </w:rPr>
        <w:t xml:space="preserve">Vision · Architecture · Modèle économique · Roadmap</w:t>
      </w:r>
    </w:p>
    <w:p>
      <w:r>
        <w:rPr>
          <w:sz w:val="16"/>
          <w:szCs w:val="16"/>
        </w:rPr>
        <w:t xml:space="preserve"> </w:t>
      </w:r>
    </w:p>
    <w:p>
      <w:r>
        <w:rPr>
          <w:sz w:val="16"/>
          <w:szCs w:val="16"/>
        </w:rPr>
        <w:t xml:space="preserve"> </w:t>
      </w:r>
    </w:p>
    <w:p>
      <w:r>
        <w:rPr>
          <w:sz w:val="16"/>
          <w:szCs w:val="16"/>
        </w:rPr>
        <w:t xml:space="preserve"> </w:t>
      </w:r>
    </w:p>
    <w:p>
      <w:r>
        <w:rPr>
          <w:sz w:val="16"/>
          <w:szCs w:val="16"/>
        </w:rPr>
        <w:t xml:space="preserve"> </w:t>
      </w:r>
    </w:p>
    <w:p>
      <w:r>
        <w:rPr>
          <w:sz w:val="16"/>
          <w:szCs w:val="16"/>
        </w:rPr>
        <w:t xml:space="preserve"> </w:t>
      </w:r>
    </w:p>
    <w:p>
      <w:r>
        <w:rPr>
          <w:sz w:val="16"/>
          <w:szCs w:val="16"/>
        </w:rPr>
        <w:t xml:space="preserve"> </w:t>
      </w:r>
    </w:p>
    <w:p>
      <w:pPr>
        <w:spacing w:after="80"/>
        <w:jc w:val="center"/>
      </w:pPr>
      <w:r>
        <w:rPr>
          <w:color w:val="2B2B2B"/>
          <w:sz w:val="22"/>
          <w:szCs w:val="22"/>
        </w:rPr>
        <w:t xml:space="preserve">Prepare pour : Constantin Serrier</w:t>
      </w:r>
    </w:p>
    <w:p>
      <w:pPr>
        <w:spacing w:after="80"/>
        <w:jc w:val="center"/>
      </w:pPr>
      <w:r>
        <w:rPr>
          <w:color w:val="6B7280"/>
          <w:sz w:val="20"/>
          <w:szCs w:val="20"/>
        </w:rPr>
        <w:t xml:space="preserve">Holding C-R-Y-S · CSR Energies</w:t>
      </w:r>
    </w:p>
    <w:p>
      <w:pPr>
        <w:jc w:val="center"/>
      </w:pPr>
      <w:r>
        <w:rPr>
          <w:color w:val="6B7280"/>
          <w:sz w:val="20"/>
          <w:szCs w:val="20"/>
        </w:rPr>
        <w:t xml:space="preserve">Mai 2026</w:t>
      </w:r>
    </w:p>
    <w:p>
      <w:r>
        <w:br w:type="page"/>
      </w:r>
    </w:p>
    <w:p>
      <w:pPr>
        <w:pStyle w:val="Heading1"/>
        <w:spacing w:after="200" w:before="360"/>
      </w:pPr>
      <w:r>
        <w:rPr>
          <w:b/>
          <w:bCs/>
          <w:color w:val="1F2A44"/>
          <w:sz w:val="36"/>
          <w:szCs w:val="36"/>
        </w:rPr>
        <w:t xml:space="preserve">Synthèse exécutive</w:t>
      </w:r>
    </w:p>
    <w:p>
      <w:pPr>
        <w:spacing w:after="120" w:line="320"/>
        <w:jc w:val="both"/>
      </w:pPr>
      <w:r>
        <w:rPr>
          <w:color w:val="2B2B2B"/>
          <w:sz w:val="22"/>
          <w:szCs w:val="22"/>
        </w:rPr>
        <w:t xml:space="preserve">Council 10 est une application mobile et web de conseil décisionnel pour entrepreneurs, bâtie autour de dix agents IA spécialisés qui travaillent en permanence sur le profil et le contexte de l'utilisateur. Sa singularité tient à trois choix structurants.</w:t>
      </w:r>
    </w:p>
    <w:p>
      <w:pPr>
        <w:pStyle w:val="ListParagraph"/>
        <w:numPr>
          <w:ilvl w:val="0"/>
          <w:numId w:val="2"/>
        </w:numPr>
        <w:spacing w:after="80" w:line="300"/>
      </w:pPr>
      <w:r>
        <w:rPr>
          <w:b/>
          <w:bCs/>
          <w:color w:val="1F2A44"/>
          <w:sz w:val="22"/>
          <w:szCs w:val="22"/>
        </w:rPr>
        <w:t xml:space="preserve">Indispensable comme TikTok mais utile : </w:t>
      </w:r>
      <w:r>
        <w:rPr>
          <w:color w:val="2B2B2B"/>
          <w:sz w:val="22"/>
          <w:szCs w:val="22"/>
        </w:rPr>
        <w:t xml:space="preserve">une boucle d'habitude quotidienne (brief matinal, feed contextuel, notifications déclenchées par les vénements réels) qui rend l'application incontournable, mais avec un objectif inverse — faire gagner du temps et de la lucidité, pas en faire perdre.</w:t>
      </w:r>
    </w:p>
    <w:p>
      <w:pPr>
        <w:pStyle w:val="ListParagraph"/>
        <w:numPr>
          <w:ilvl w:val="0"/>
          <w:numId w:val="2"/>
        </w:numPr>
        <w:spacing w:after="80" w:line="300"/>
      </w:pPr>
      <w:r>
        <w:rPr>
          <w:b/>
          <w:bCs/>
          <w:color w:val="1F2A44"/>
          <w:sz w:val="22"/>
          <w:szCs w:val="22"/>
        </w:rPr>
        <w:t xml:space="preserve">Multi-agents en permanence : </w:t>
      </w:r>
      <w:r>
        <w:rPr>
          <w:color w:val="2B2B2B"/>
          <w:sz w:val="22"/>
          <w:szCs w:val="22"/>
        </w:rPr>
        <w:t xml:space="preserve">dix agents spécialisés (stratège, financier, croissance, productivité, coach personnel, veilleur, mémoire, observateur, critique, orchestrateur) qui travaillent en parallèle et confrontent leurs analyses pour proposer la meilleure décision — jamais une seule perspective.</w:t>
      </w:r>
    </w:p>
    <w:p>
      <w:pPr>
        <w:pStyle w:val="ListParagraph"/>
        <w:numPr>
          <w:ilvl w:val="0"/>
          <w:numId w:val="2"/>
        </w:numPr>
        <w:spacing w:after="80" w:line="300"/>
      </w:pPr>
      <w:r>
        <w:rPr>
          <w:b/>
          <w:bCs/>
          <w:color w:val="1F2A44"/>
          <w:sz w:val="22"/>
          <w:szCs w:val="22"/>
        </w:rPr>
        <w:t xml:space="preserve">Adaptation profonde à l'humain : </w:t>
      </w:r>
      <w:r>
        <w:rPr>
          <w:color w:val="2B2B2B"/>
          <w:sz w:val="22"/>
          <w:szCs w:val="22"/>
        </w:rPr>
        <w:t xml:space="preserve">un système de détection à quatre niveaux (questionnaire, psychométrie, apprentissage comportemental, détection des profils atypiques) qui permet à l'application de parler différemment à chaque utilisateur — visionnaire ou opérateur, rapide ou réfléchi, pragmatique ou intuitif.</w:t>
      </w:r>
    </w:p>
    <w:p>
      <w:pPr>
        <w:spacing w:after="120" w:line="320"/>
        <w:jc w:val="both"/>
      </w:pPr>
      <w:r>
        <w:rPr>
          <w:color w:val="2B2B2B"/>
          <w:sz w:val="22"/>
          <w:szCs w:val="22"/>
        </w:rPr>
        <w:t xml:space="preserve">La cible primaire est l'entrepreneur de TPE/PME, segment défaillant en outils de pilotage stratégique — plus précisément d'abord les artisans du BTP (votre marché natif), puis l'élargissement aux dirigeants de structures à 10–50 salariés.</w:t>
      </w:r>
    </w:p>
    <w:p>
      <w:pPr>
        <w:spacing w:after="120" w:line="320"/>
        <w:jc w:val="both"/>
      </w:pPr>
      <w:r>
        <w:rPr>
          <w:color w:val="2B2B2B"/>
          <w:sz w:val="22"/>
          <w:szCs w:val="22"/>
        </w:rPr>
        <w:t xml:space="preserve">Le modèle est freemium avec trois paliers payants (Pro 29€, Premium 79€, Enterprise 199€). Le MVP est réalisable en 90 jours avec trois agents et un brief matinal. La V1 complète (10 agents, intégrations, mobile natif) demande 6 mois et un budget estimé à 80–150 K€ selon le niveau d'externalisation.</w:t>
      </w:r>
    </w:p>
    <w:p>
      <w:pPr>
        <w:spacing w:after="120" w:line="320"/>
        <w:jc w:val="both"/>
      </w:pPr>
      <w:r>
        <w:rPr>
          <w:color w:val="2B2B2B"/>
          <w:sz w:val="22"/>
          <w:szCs w:val="22"/>
        </w:rPr>
        <w:t xml:space="preserve">Ce document détaille la vision, l'architecture des dix agents, les mécanismes de détection humaine, la boucle d'engagement, le modèle économique, la roadmap, les risques et les indicateurs de succès.</w:t>
      </w:r>
    </w:p>
    <w:p>
      <w:r>
        <w:br w:type="page"/>
      </w:r>
    </w:p>
    <w:p>
      <w:pPr>
        <w:pStyle w:val="Heading1"/>
        <w:spacing w:after="200" w:before="360"/>
      </w:pPr>
      <w:r>
        <w:rPr>
          <w:b/>
          <w:bCs/>
          <w:color w:val="1F2A44"/>
          <w:sz w:val="36"/>
          <w:szCs w:val="36"/>
        </w:rPr>
        <w:t xml:space="preserve">Vision et manifeste</w:t>
      </w:r>
    </w:p>
    <w:p>
      <w:pPr>
        <w:spacing w:after="200" w:before="200"/>
        <w:ind w:left="720" w:right="720"/>
        <w:jc w:val="center"/>
      </w:pPr>
      <w:r>
        <w:rPr>
          <w:i/>
          <w:iCs/>
          <w:color w:val="D4A574"/>
          <w:sz w:val="24"/>
          <w:szCs w:val="24"/>
        </w:rPr>
        <w:t xml:space="preserve">“Un conseiller d'exception dans la poche de chaque entrepreneur.”</w:t>
      </w:r>
    </w:p>
    <w:p>
      <w:pPr>
        <w:pStyle w:val="Heading2"/>
        <w:spacing w:after="160" w:before="280"/>
      </w:pPr>
      <w:r>
        <w:rPr>
          <w:b/>
          <w:bCs/>
          <w:color w:val="1F2A44"/>
          <w:sz w:val="28"/>
          <w:szCs w:val="28"/>
        </w:rPr>
        <w:t xml:space="preserve">Le problème réel</w:t>
      </w:r>
    </w:p>
    <w:p>
      <w:pPr>
        <w:spacing w:after="120" w:line="320"/>
        <w:jc w:val="both"/>
      </w:pPr>
      <w:r>
        <w:rPr>
          <w:color w:val="2B2B2B"/>
          <w:sz w:val="22"/>
          <w:szCs w:val="22"/>
        </w:rPr>
        <w:t xml:space="preserve">L'entrepreneur de TPE/PME prend, en moyenne, entre 50 et 150 décisions par jour. Tarification d'un devis, embauche, choix d'un fournisseur, refus d'un client toxique, arbitrage de trésorerie, négociation avec la banque, priorisation entre cinq projets concurrents. La plupart de ces décisions sont prises seul, dans l'urgence, sans recul, sans données structurées.</w:t>
      </w:r>
    </w:p>
    <w:p>
      <w:pPr>
        <w:spacing w:after="120" w:line="320"/>
        <w:jc w:val="both"/>
      </w:pPr>
      <w:r>
        <w:rPr>
          <w:color w:val="2B2B2B"/>
          <w:sz w:val="22"/>
          <w:szCs w:val="22"/>
        </w:rPr>
        <w:t xml:space="preserve">Les outils existants ne répondent pas à ce besoin. Un comptable arrive trop tard. Un coach coûte trop cher. Un mentor n'est pas disponible à 22h quand un client envoie un email délicat. Les ChatGPT et Claude généralistes sont brillants mais ne connaissent pas le contexte de l'entreprise, n'ont aucune mémoire d'une session à l'autre, et donnent une seule perspective à la fois.</w:t>
      </w:r>
    </w:p>
    <w:p>
      <w:pPr>
        <w:spacing w:after="120" w:line="320"/>
        <w:jc w:val="both"/>
      </w:pPr>
      <w:r>
        <w:rPr>
          <w:color w:val="2B2B2B"/>
          <w:sz w:val="22"/>
          <w:szCs w:val="22"/>
        </w:rPr>
        <w:t xml:space="preserve">Résultat : 60 % des dirigeants de TPE déclarent prendre des décisions stratégiques à l'instinct, sans cadre. La sous-performance d'une entreprise est rarement un problème d'exécution — c'est un problème d'arbitrages répétés, mal calibrés, dont les effets s'accumulent.</w:t>
      </w:r>
    </w:p>
    <w:p>
      <w:pPr>
        <w:pStyle w:val="Heading2"/>
        <w:spacing w:after="160" w:before="280"/>
      </w:pPr>
      <w:r>
        <w:rPr>
          <w:b/>
          <w:bCs/>
          <w:color w:val="1F2A44"/>
          <w:sz w:val="28"/>
          <w:szCs w:val="28"/>
        </w:rPr>
        <w:t xml:space="preserve">La promesse Council 10</w:t>
      </w:r>
    </w:p>
    <w:p>
      <w:pPr>
        <w:spacing w:after="120" w:line="320"/>
        <w:jc w:val="both"/>
      </w:pPr>
      <w:r>
        <w:rPr>
          <w:color w:val="2B2B2B"/>
          <w:sz w:val="22"/>
          <w:szCs w:val="22"/>
        </w:rPr>
        <w:t xml:space="preserve">Council 10 est un « conseil d'administration de poche ». Dix experts permanents, disponibles à toute heure, qui connaissent votre profil, votre entreprise, votre historique de décisions, et qui se réunissent en quelques secondes pour vous donner la meilleure recommandation possible — avec ses contradictions, ses risques et son plan d'action.</w:t>
      </w:r>
    </w:p>
    <w:p>
      <w:pPr>
        <w:spacing w:after="120" w:line="320"/>
        <w:jc w:val="both"/>
      </w:pPr>
      <w:r>
        <w:rPr>
          <w:color w:val="2B2B2B"/>
          <w:sz w:val="22"/>
          <w:szCs w:val="22"/>
        </w:rPr>
        <w:t xml:space="preserve">La différence avec un assistant IA classique tient en trois mots : permanent, multi-perspectives, personnel.</w:t>
      </w:r>
    </w:p>
    <w:p>
      <w:pPr>
        <w:pStyle w:val="ListParagraph"/>
        <w:numPr>
          <w:ilvl w:val="0"/>
          <w:numId w:val="2"/>
        </w:numPr>
        <w:spacing w:after="80" w:line="300"/>
      </w:pPr>
      <w:r>
        <w:rPr>
          <w:b/>
          <w:bCs/>
          <w:color w:val="1F2A44"/>
          <w:sz w:val="22"/>
          <w:szCs w:val="22"/>
        </w:rPr>
        <w:t xml:space="preserve">Permanent. </w:t>
      </w:r>
      <w:r>
        <w:rPr>
          <w:color w:val="2B2B2B"/>
          <w:sz w:val="22"/>
          <w:szCs w:val="22"/>
        </w:rPr>
        <w:t xml:space="preserve"> Les agents tournent en arrière-plan même quand vous ne les sollicitez pas. Le Veilleur scanne votre secteur la nuit. Le Critique réexamine vos décisions de la semaine. Le Coach Personnel détecte les signaux de surcharge dans le rythme de vos messages.</w:t>
      </w:r>
    </w:p>
    <w:p>
      <w:pPr>
        <w:pStyle w:val="ListParagraph"/>
        <w:numPr>
          <w:ilvl w:val="0"/>
          <w:numId w:val="2"/>
        </w:numPr>
        <w:spacing w:after="80" w:line="300"/>
      </w:pPr>
      <w:r>
        <w:rPr>
          <w:b/>
          <w:bCs/>
          <w:color w:val="1F2A44"/>
          <w:sz w:val="22"/>
          <w:szCs w:val="22"/>
        </w:rPr>
        <w:t xml:space="preserve">Multi-perspectives. </w:t>
      </w:r>
      <w:r>
        <w:rPr>
          <w:color w:val="2B2B2B"/>
          <w:sz w:val="22"/>
          <w:szCs w:val="22"/>
        </w:rPr>
        <w:t xml:space="preserve"> Une décision importante déclenche un Council — plusieurs agents donnent leur avis, ils s'opposent parfois, et l'Orchestrateur synthétise. Vous ne recevez jamais une réponse moyenne — vous recevez une analyse contrastée, comme dans un véritable comité.</w:t>
      </w:r>
    </w:p>
    <w:p>
      <w:pPr>
        <w:pStyle w:val="ListParagraph"/>
        <w:numPr>
          <w:ilvl w:val="0"/>
          <w:numId w:val="2"/>
        </w:numPr>
        <w:spacing w:after="80" w:line="300"/>
      </w:pPr>
      <w:r>
        <w:rPr>
          <w:b/>
          <w:bCs/>
          <w:color w:val="1F2A44"/>
          <w:sz w:val="22"/>
          <w:szCs w:val="22"/>
        </w:rPr>
        <w:t xml:space="preserve">Personnel. </w:t>
      </w:r>
      <w:r>
        <w:rPr>
          <w:color w:val="2B2B2B"/>
          <w:sz w:val="22"/>
          <w:szCs w:val="22"/>
        </w:rPr>
        <w:t xml:space="preserve"> L'Observateur apprend votre style. Si vous êtes un décideur rapide qui déteste les listes à puces, l'app le sait au bout d'une semaine. Si vous êtes un profil atypique — multi-projet, intolerance à la routine, sauts logiques rapides — elle adapte le rythme et le niveau de détail.</w:t>
      </w:r>
    </w:p>
    <w:p>
      <w:pPr>
        <w:pStyle w:val="Heading2"/>
        <w:spacing w:after="160" w:before="280"/>
      </w:pPr>
      <w:r>
        <w:rPr>
          <w:b/>
          <w:bCs/>
          <w:color w:val="1F2A44"/>
          <w:sz w:val="28"/>
          <w:szCs w:val="28"/>
        </w:rPr>
        <w:t xml:space="preserve">Le modèle mental TikTok inverse</w:t>
      </w:r>
    </w:p>
    <w:p>
      <w:pPr>
        <w:spacing w:after="120" w:line="320"/>
        <w:jc w:val="both"/>
      </w:pPr>
      <w:r>
        <w:rPr>
          <w:color w:val="2B2B2B"/>
          <w:sz w:val="22"/>
          <w:szCs w:val="22"/>
        </w:rPr>
        <w:t xml:space="preserve">TikTok est l'application la plus addictive jamais conçue. Sa mécanique — boucle de hook brève, récompense variable, contenu hyper-personnalisé, friction nulle pour revenir — a transformé des milliards d'utilisateurs en consommateurs quotidiens.</w:t>
      </w:r>
    </w:p>
    <w:p>
      <w:pPr>
        <w:spacing w:after="120" w:line="320"/>
        <w:jc w:val="both"/>
      </w:pPr>
      <w:r>
        <w:rPr>
          <w:color w:val="2B2B2B"/>
          <w:sz w:val="22"/>
          <w:szCs w:val="22"/>
        </w:rPr>
        <w:t xml:space="preserve">Council 10 reprend cette mécanique mais l'inverse. L'objectif n'est pas de capter du temps, c'est d'en libérer. Les mêmes leviers psychologiques sont mobilisés, mais la récompense est utile : un insight qui fait gagner 1 000 € sur un devis, une alerte qui évite une erreur fiscale, un conseil qui débloque un recrutement bloqué depuis trois mois.</w:t>
      </w:r>
    </w:p>
    <w:p>
      <w:pPr>
        <w:spacing w:after="120" w:line="320"/>
        <w:jc w:val="both"/>
      </w:pPr>
      <w:r>
        <w:rPr>
          <w:color w:val="2B2B2B"/>
          <w:sz w:val="22"/>
          <w:szCs w:val="22"/>
        </w:rPr>
        <w:t xml:space="preserve">Dans cinq ans, l'entrepreneur qui n'utilise pas Council 10 sera dans la même position que le commerçant qui n'avait pas internet en 2005. C'est cette ambition qui structure le projet.</w:t>
      </w:r>
    </w:p>
    <w:p>
      <w:r>
        <w:br w:type="page"/>
      </w:r>
    </w:p>
    <w:p>
      <w:pPr>
        <w:pStyle w:val="Heading1"/>
        <w:spacing w:after="200" w:before="360"/>
      </w:pPr>
      <w:r>
        <w:rPr>
          <w:b/>
          <w:bCs/>
          <w:color w:val="1F2A44"/>
          <w:sz w:val="36"/>
          <w:szCs w:val="36"/>
        </w:rPr>
        <w:t xml:space="preserve">Contexte de marché et opportunité</w:t>
      </w:r>
    </w:p>
    <w:p>
      <w:pPr>
        <w:pStyle w:val="Heading2"/>
        <w:spacing w:after="160" w:before="280"/>
      </w:pPr>
      <w:r>
        <w:rPr>
          <w:b/>
          <w:bCs/>
          <w:color w:val="1F2A44"/>
          <w:sz w:val="28"/>
          <w:szCs w:val="28"/>
        </w:rPr>
        <w:t xml:space="preserve">Pourquoi maintenant</w:t>
      </w:r>
    </w:p>
    <w:p>
      <w:pPr>
        <w:spacing w:after="120" w:line="320"/>
        <w:jc w:val="both"/>
      </w:pPr>
      <w:r>
        <w:rPr>
          <w:color w:val="2B2B2B"/>
          <w:sz w:val="22"/>
          <w:szCs w:val="22"/>
        </w:rPr>
        <w:t xml:space="preserve">Trois mouvements convergent en 2026 et créent une fenêtre de tir d'environ 18–24 mois pour positionner un acteur dominant sur le segment du conseil IA aux entrepreneurs.</w:t>
      </w:r>
    </w:p>
    <w:p>
      <w:pPr>
        <w:pStyle w:val="ListParagraph"/>
        <w:numPr>
          <w:ilvl w:val="0"/>
          <w:numId w:val="2"/>
        </w:numPr>
        <w:spacing w:after="80" w:line="300"/>
      </w:pPr>
      <w:r>
        <w:rPr>
          <w:b/>
          <w:bCs/>
          <w:color w:val="1F2A44"/>
          <w:sz w:val="22"/>
          <w:szCs w:val="22"/>
        </w:rPr>
        <w:t xml:space="preserve">Premier mouvement : maturité technique des LLM. </w:t>
      </w:r>
      <w:r>
        <w:rPr>
          <w:color w:val="2B2B2B"/>
          <w:sz w:val="22"/>
          <w:szCs w:val="22"/>
        </w:rPr>
        <w:t xml:space="preserve"> Claude, GPT-4 et leurs successeurs ont dépassé le seuil de qualité où un conseil généré par IA est superieur à un conseil humain moyen sur 80 % des cas business courants. Le coût d'inférence a chuté de 90 % en deux ans. Une session multi-agents qui coûtait 5 € en 2024 coûte 0,30 € aujourd'hui.</w:t>
      </w:r>
    </w:p>
    <w:p>
      <w:pPr>
        <w:pStyle w:val="ListParagraph"/>
        <w:numPr>
          <w:ilvl w:val="0"/>
          <w:numId w:val="2"/>
        </w:numPr>
        <w:spacing w:after="80" w:line="300"/>
      </w:pPr>
      <w:r>
        <w:rPr>
          <w:b/>
          <w:bCs/>
          <w:color w:val="1F2A44"/>
          <w:sz w:val="22"/>
          <w:szCs w:val="22"/>
        </w:rPr>
        <w:t xml:space="preserve">Deuxième mouvement : familiarité utilisateur. </w:t>
      </w:r>
      <w:r>
        <w:rPr>
          <w:color w:val="2B2B2B"/>
          <w:sz w:val="22"/>
          <w:szCs w:val="22"/>
        </w:rPr>
        <w:t xml:space="preserve"> 40 % des entrepreneurs français déclarent utiliser ChatGPT au moins une fois par semaine. La barrière psychologique « IA = science-fiction » est tombée. La barrière restante est l'agencement — personne n'a encore proposé une expérience qui transforme cet usage ponctuel en habitude quotidienne structurée.</w:t>
      </w:r>
    </w:p>
    <w:p>
      <w:pPr>
        <w:pStyle w:val="ListParagraph"/>
        <w:numPr>
          <w:ilvl w:val="0"/>
          <w:numId w:val="2"/>
        </w:numPr>
        <w:spacing w:after="80" w:line="300"/>
      </w:pPr>
      <w:r>
        <w:rPr>
          <w:b/>
          <w:bCs/>
          <w:color w:val="1F2A44"/>
          <w:sz w:val="22"/>
          <w:szCs w:val="22"/>
        </w:rPr>
        <w:t xml:space="preserve">Troisième mouvement : pression économique sur les TPE. </w:t>
      </w:r>
      <w:r>
        <w:rPr>
          <w:color w:val="2B2B2B"/>
          <w:sz w:val="22"/>
          <w:szCs w:val="22"/>
        </w:rPr>
        <w:t xml:space="preserve"> Hausse des taux, fin du quoi qu'il en coûte, exigence de rentabilité immédiate. Le dirigeant qui pouvait piloter à l'instinct en 2021 ne peut plus se le permettre en 2026. Le besoin d'un copilote décisionnel est devenu structurel.</w:t>
      </w:r>
    </w:p>
    <w:p>
      <w:pPr>
        <w:pStyle w:val="Heading2"/>
        <w:spacing w:after="160" w:before="280"/>
      </w:pPr>
      <w:r>
        <w:rPr>
          <w:b/>
          <w:bCs/>
          <w:color w:val="1F2A44"/>
          <w:sz w:val="28"/>
          <w:szCs w:val="28"/>
        </w:rPr>
        <w:t xml:space="preserve">Concurrence et différenciation</w:t>
      </w:r>
    </w:p>
    <w:p>
      <w:pPr>
        <w:spacing w:after="120" w:line="320"/>
        <w:jc w:val="both"/>
      </w:pPr>
      <w:r>
        <w:rPr>
          <w:color w:val="2B2B2B"/>
          <w:sz w:val="22"/>
          <w:szCs w:val="22"/>
        </w:rPr>
        <w:t xml:space="preserve">Trois catégories de concurrents existent, aucune ne couvre la promesse Council 10.</w:t>
      </w:r>
    </w:p>
    <w:p>
      <w:pPr>
        <w:pStyle w:val="ListParagraph"/>
        <w:numPr>
          <w:ilvl w:val="0"/>
          <w:numId w:val="2"/>
        </w:numPr>
        <w:spacing w:after="80" w:line="300"/>
      </w:pPr>
      <w:r>
        <w:rPr>
          <w:b/>
          <w:bCs/>
          <w:color w:val="1F2A44"/>
          <w:sz w:val="22"/>
          <w:szCs w:val="22"/>
        </w:rPr>
        <w:t xml:space="preserve">Assistants généralistes (ChatGPT, Claude, Gemini). </w:t>
      </w:r>
      <w:r>
        <w:rPr>
          <w:color w:val="2B2B2B"/>
          <w:sz w:val="22"/>
          <w:szCs w:val="22"/>
        </w:rPr>
        <w:t xml:space="preserve"> Forces : qualité du raisonnement, prix bas. Faiblesses : aucune mémoire transversale, aucune pro-activité, aucune spécialisation entrepreneur, expérience uniforme.</w:t>
      </w:r>
    </w:p>
    <w:p>
      <w:pPr>
        <w:pStyle w:val="ListParagraph"/>
        <w:numPr>
          <w:ilvl w:val="0"/>
          <w:numId w:val="2"/>
        </w:numPr>
        <w:spacing w:after="80" w:line="300"/>
      </w:pPr>
      <w:r>
        <w:rPr>
          <w:b/>
          <w:bCs/>
          <w:color w:val="1F2A44"/>
          <w:sz w:val="22"/>
          <w:szCs w:val="22"/>
        </w:rPr>
        <w:t xml:space="preserve">Outils verticaux (Pennylane, Qonto, Indy). </w:t>
      </w:r>
      <w:r>
        <w:rPr>
          <w:color w:val="2B2B2B"/>
          <w:sz w:val="22"/>
          <w:szCs w:val="22"/>
        </w:rPr>
        <w:t xml:space="preserve"> Forces : intégration profonde dans un métier (compta, banque). Faiblesses : monodimensionnels, ne traitent qu'un sous-ensemble des décisions, pas de logique conseil.</w:t>
      </w:r>
    </w:p>
    <w:p>
      <w:pPr>
        <w:pStyle w:val="ListParagraph"/>
        <w:numPr>
          <w:ilvl w:val="0"/>
          <w:numId w:val="2"/>
        </w:numPr>
        <w:spacing w:after="80" w:line="300"/>
      </w:pPr>
      <w:r>
        <w:rPr>
          <w:b/>
          <w:bCs/>
          <w:color w:val="1F2A44"/>
          <w:sz w:val="22"/>
          <w:szCs w:val="22"/>
        </w:rPr>
        <w:t xml:space="preserve">Plateformes coaching (BPI, CCI, mentors humains). </w:t>
      </w:r>
      <w:r>
        <w:rPr>
          <w:color w:val="2B2B2B"/>
          <w:sz w:val="22"/>
          <w:szCs w:val="22"/>
        </w:rPr>
        <w:t xml:space="preserve"> Forces : qualité humaine, contextualisation. Faiblesses : coût prohibitif, latence (rdv à quinze jours), non-scalable.</w:t>
      </w:r>
    </w:p>
    <w:p>
      <w:pPr>
        <w:spacing w:after="120" w:line="320"/>
        <w:jc w:val="both"/>
      </w:pPr>
      <w:r>
        <w:rPr>
          <w:color w:val="2B2B2B"/>
          <w:sz w:val="22"/>
          <w:szCs w:val="22"/>
        </w:rPr>
        <w:t xml:space="preserve">Council 10 occupe un espace inoccupé : conseil stratégique transversal, permanent, peu coûteux, profondément personnalisé. La barrière à l'entrée principale n'est pas technique — c'est l'orchestration des dix agents et la qualité du profilage utilisateur, qui demandent 12–18 mois de travail iteratif.</w:t>
      </w:r>
    </w:p>
    <w:p>
      <w:pPr>
        <w:pStyle w:val="Heading2"/>
        <w:spacing w:after="160" w:before="280"/>
      </w:pPr>
      <w:r>
        <w:rPr>
          <w:b/>
          <w:bCs/>
          <w:color w:val="1F2A44"/>
          <w:sz w:val="28"/>
          <w:szCs w:val="28"/>
        </w:rPr>
        <w:t xml:space="preserve">Taille de marché</w:t>
      </w:r>
    </w:p>
    <w:p>
      <w:pPr>
        <w:spacing w:after="120" w:line="320"/>
        <w:jc w:val="both"/>
      </w:pPr>
      <w:r>
        <w:rPr>
          <w:color w:val="2B2B2B"/>
          <w:sz w:val="22"/>
          <w:szCs w:val="22"/>
        </w:rPr>
        <w:t xml:space="preserve">3,9 millions de TPE en France, dont 1,2 million ayant au moins un salarié. Cible adressable réaliste à 5 ans : 5 % de ce dernier segment, soit 60 000 utilisateurs payants à un ARPU moyen de 45 €/mois — 32 M€ d'ARR. Élargissement européen multiplié par 6–8 à horizon 7 ans.</w:t>
      </w:r>
    </w:p>
    <w:p>
      <w:r>
        <w:br w:type="page"/>
      </w:r>
    </w:p>
    <w:p>
      <w:pPr>
        <w:pStyle w:val="Heading1"/>
        <w:spacing w:after="200" w:before="360"/>
      </w:pPr>
      <w:r>
        <w:rPr>
          <w:b/>
          <w:bCs/>
          <w:color w:val="1F2A44"/>
          <w:sz w:val="36"/>
          <w:szCs w:val="36"/>
        </w:rPr>
        <w:t xml:space="preserve">Personae cibles</w:t>
      </w:r>
    </w:p>
    <w:p>
      <w:pPr>
        <w:spacing w:after="120" w:line="320"/>
        <w:jc w:val="both"/>
      </w:pPr>
      <w:r>
        <w:rPr>
          <w:color w:val="2B2B2B"/>
          <w:sz w:val="22"/>
          <w:szCs w:val="22"/>
        </w:rPr>
        <w:t xml:space="preserve">Trois personae structurent les décisions produit. La cible primaire « Constantin » est exclusive au lancement (90 premiers jours). Les deux autres rejoignent au fur et à mesure que l'application gagne en maturité.</w:t>
      </w:r>
    </w:p>
    <w:p>
      <w:pPr>
        <w:pStyle w:val="Heading2"/>
        <w:spacing w:after="160" w:before="280"/>
      </w:pPr>
      <w:r>
        <w:rPr>
          <w:b/>
          <w:bCs/>
          <w:color w:val="1F2A44"/>
          <w:sz w:val="28"/>
          <w:szCs w:val="28"/>
        </w:rPr>
        <w:t xml:space="preserve">Persona 1 — Constantin (cible primaire)</w:t>
      </w:r>
    </w:p>
    <w:p>
      <w:pPr>
        <w:spacing w:after="120" w:line="320"/>
        <w:jc w:val="both"/>
      </w:pPr>
      <w:r>
        <w:rPr>
          <w:b/>
          <w:bCs/>
          <w:color w:val="2B2B2B"/>
          <w:sz w:val="22"/>
          <w:szCs w:val="22"/>
        </w:rPr>
        <w:t xml:space="preserve">Âge </w:t>
      </w:r>
      <w:r>
        <w:rPr>
          <w:color w:val="2B2B2B"/>
          <w:sz w:val="22"/>
          <w:szCs w:val="22"/>
        </w:rPr>
        <w:t xml:space="preserve">30 ans — </w:t>
      </w:r>
      <w:r>
        <w:rPr>
          <w:b/>
          <w:bCs/>
          <w:color w:val="2B2B2B"/>
          <w:sz w:val="22"/>
          <w:szCs w:val="22"/>
        </w:rPr>
        <w:t xml:space="preserve">secteur </w:t>
      </w:r>
      <w:r>
        <w:rPr>
          <w:color w:val="2B2B2B"/>
          <w:sz w:val="22"/>
          <w:szCs w:val="22"/>
        </w:rPr>
        <w:t xml:space="preserve">BTP, plomberie chauffage climatisation — </w:t>
      </w:r>
      <w:r>
        <w:rPr>
          <w:b/>
          <w:bCs/>
          <w:color w:val="2B2B2B"/>
          <w:sz w:val="22"/>
          <w:szCs w:val="22"/>
        </w:rPr>
        <w:t xml:space="preserve">structure </w:t>
      </w:r>
      <w:r>
        <w:rPr>
          <w:color w:val="2B2B2B"/>
          <w:sz w:val="22"/>
          <w:szCs w:val="22"/>
        </w:rPr>
        <w:t xml:space="preserve">1 dirigeant + 1 technicien + 1 secrétaire, holding C-R-Y-S en cours, rachat d'une seconde société en cours — </w:t>
      </w:r>
      <w:r>
        <w:rPr>
          <w:b/>
          <w:bCs/>
          <w:color w:val="2B2B2B"/>
          <w:sz w:val="22"/>
          <w:szCs w:val="22"/>
        </w:rPr>
        <w:t xml:space="preserve">CA </w:t>
      </w:r>
      <w:r>
        <w:rPr>
          <w:color w:val="2B2B2B"/>
          <w:sz w:val="22"/>
          <w:szCs w:val="22"/>
        </w:rPr>
        <w:t xml:space="preserve">estimé entre 300 K€ et 800 K€, croissance accélérée par le rachat.</w:t>
      </w:r>
    </w:p>
    <w:p>
      <w:pPr>
        <w:spacing w:after="120" w:line="320"/>
        <w:jc w:val="both"/>
      </w:pPr>
      <w:r>
        <w:rPr>
          <w:color w:val="2B2B2B"/>
          <w:sz w:val="22"/>
          <w:szCs w:val="22"/>
        </w:rPr>
        <w:t xml:space="preserve">Niveau technique non-développeur, mais haute familiarité opérationnelle (devis, achats, RH). Apprend l'IA en autodidacte. Multi-projet par nature — l'opérationnel BTP, le rachat, la holding, la création d'applications, tout en parallèle.</w:t>
      </w:r>
    </w:p>
    <w:p>
      <w:pPr>
        <w:spacing w:after="120" w:line="320"/>
        <w:jc w:val="both"/>
      </w:pPr>
      <w:r>
        <w:rPr>
          <w:color w:val="2B2B2B"/>
          <w:sz w:val="22"/>
          <w:szCs w:val="22"/>
        </w:rPr>
        <w:t xml:space="preserve">Pain points : prend des décisions complexes seul (rachat, structure holding, financement), peu d'interlocuteurs au niveau stratégique, journées saturées, manque de recul sur les KPIs, sentiment de plafonnement à surmonter pour passer de 1–2 salariés à 10–3.0.</w:t>
      </w:r>
    </w:p>
    <w:p>
      <w:pPr>
        <w:spacing w:after="120" w:line="320"/>
        <w:jc w:val="both"/>
      </w:pPr>
      <w:r>
        <w:rPr>
          <w:color w:val="2B2B2B"/>
          <w:sz w:val="22"/>
          <w:szCs w:val="22"/>
        </w:rPr>
        <w:t xml:space="preserve">Attentes envers Council 10 : un conseil rapide et tranché (pas de « ça dépend »), structure ses arbitrages, lui apprend ce qu'il ne sait pas en finance et structuration, le challenge sur ses choix avant qu'il ne s'engage.</w:t>
      </w:r>
    </w:p>
    <w:p>
      <w:pPr>
        <w:pStyle w:val="Heading2"/>
        <w:spacing w:after="160" w:before="280"/>
      </w:pPr>
      <w:r>
        <w:rPr>
          <w:b/>
          <w:bCs/>
          <w:color w:val="1F2A44"/>
          <w:sz w:val="28"/>
          <w:szCs w:val="28"/>
        </w:rPr>
        <w:t xml:space="preserve">Persona 2 — Sandra (élargissement à 6 mois)</w:t>
      </w:r>
    </w:p>
    <w:p>
      <w:pPr>
        <w:spacing w:after="120" w:line="320"/>
        <w:jc w:val="both"/>
      </w:pPr>
      <w:r>
        <w:rPr>
          <w:b/>
          <w:bCs/>
          <w:color w:val="2B2B2B"/>
          <w:sz w:val="22"/>
          <w:szCs w:val="22"/>
        </w:rPr>
        <w:t xml:space="preserve">Âge </w:t>
      </w:r>
      <w:r>
        <w:rPr>
          <w:color w:val="2B2B2B"/>
          <w:sz w:val="22"/>
          <w:szCs w:val="22"/>
        </w:rPr>
        <w:t xml:space="preserve">42 ans — </w:t>
      </w:r>
      <w:r>
        <w:rPr>
          <w:b/>
          <w:bCs/>
          <w:color w:val="2B2B2B"/>
          <w:sz w:val="22"/>
          <w:szCs w:val="22"/>
        </w:rPr>
        <w:t xml:space="preserve">secteur </w:t>
      </w:r>
      <w:r>
        <w:rPr>
          <w:color w:val="2B2B2B"/>
          <w:sz w:val="22"/>
          <w:szCs w:val="22"/>
        </w:rPr>
        <w:t xml:space="preserve">agence de communication digitale — </w:t>
      </w:r>
      <w:r>
        <w:rPr>
          <w:b/>
          <w:bCs/>
          <w:color w:val="2B2B2B"/>
          <w:sz w:val="22"/>
          <w:szCs w:val="22"/>
        </w:rPr>
        <w:t xml:space="preserve">structure </w:t>
      </w:r>
      <w:r>
        <w:rPr>
          <w:color w:val="2B2B2B"/>
          <w:sz w:val="22"/>
          <w:szCs w:val="22"/>
        </w:rPr>
        <w:t xml:space="preserve">12 salariés, en croissance — </w:t>
      </w:r>
      <w:r>
        <w:rPr>
          <w:b/>
          <w:bCs/>
          <w:color w:val="2B2B2B"/>
          <w:sz w:val="22"/>
          <w:szCs w:val="22"/>
        </w:rPr>
        <w:t xml:space="preserve">CA </w:t>
      </w:r>
      <w:r>
        <w:rPr>
          <w:color w:val="2B2B2B"/>
          <w:sz w:val="22"/>
          <w:szCs w:val="22"/>
        </w:rPr>
        <w:t xml:space="preserve">1,8 M€.</w:t>
      </w:r>
    </w:p>
    <w:p>
      <w:pPr>
        <w:spacing w:after="120" w:line="320"/>
        <w:jc w:val="both"/>
      </w:pPr>
      <w:r>
        <w:rPr>
          <w:color w:val="2B2B2B"/>
          <w:sz w:val="22"/>
          <w:szCs w:val="22"/>
        </w:rPr>
        <w:t xml:space="preserve">Niveau technique digital natif. A testé ChatGPT pour ses devis et propositions commerciales. Ne supporte pas les outils mal conçus. Sensible au design, à la qualité d'écriture des réponses.</w:t>
      </w:r>
    </w:p>
    <w:p>
      <w:pPr>
        <w:spacing w:after="120" w:line="320"/>
        <w:jc w:val="both"/>
      </w:pPr>
      <w:r>
        <w:rPr>
          <w:color w:val="2B2B2B"/>
          <w:sz w:val="22"/>
          <w:szCs w:val="22"/>
        </w:rPr>
        <w:t xml:space="preserve">Pain points : recrute beaucoup, gère des conflits internes, pression de la rentabilité sur des marges qui se contractent, doit professionnaliser ses processus sans perdre l'agilité startup.</w:t>
      </w:r>
    </w:p>
    <w:p>
      <w:pPr>
        <w:spacing w:after="120" w:line="320"/>
        <w:jc w:val="both"/>
      </w:pPr>
      <w:r>
        <w:rPr>
          <w:color w:val="2B2B2B"/>
          <w:sz w:val="22"/>
          <w:szCs w:val="22"/>
        </w:rPr>
        <w:t xml:space="preserve">Attentes : un agent productivité et un coach personnel premium, plus que stratégique pure. Veut des recommandations sur la délégation, le management, les rituels d'équipe. Prête à payer 79 €/mois si la valeur est tangible.</w:t>
      </w:r>
    </w:p>
    <w:p>
      <w:pPr>
        <w:pStyle w:val="Heading2"/>
        <w:spacing w:after="160" w:before="280"/>
      </w:pPr>
      <w:r>
        <w:rPr>
          <w:b/>
          <w:bCs/>
          <w:color w:val="1F2A44"/>
          <w:sz w:val="28"/>
          <w:szCs w:val="28"/>
        </w:rPr>
        <w:t xml:space="preserve">Persona 3 — Karim (élargissement à 12 mois)</w:t>
      </w:r>
    </w:p>
    <w:p>
      <w:pPr>
        <w:spacing w:after="120" w:line="320"/>
        <w:jc w:val="both"/>
      </w:pPr>
      <w:r>
        <w:rPr>
          <w:b/>
          <w:bCs/>
          <w:color w:val="2B2B2B"/>
          <w:sz w:val="22"/>
          <w:szCs w:val="22"/>
        </w:rPr>
        <w:t xml:space="preserve">Âge </w:t>
      </w:r>
      <w:r>
        <w:rPr>
          <w:color w:val="2B2B2B"/>
          <w:sz w:val="22"/>
          <w:szCs w:val="22"/>
        </w:rPr>
        <w:t xml:space="preserve">56 ans — </w:t>
      </w:r>
      <w:r>
        <w:rPr>
          <w:b/>
          <w:bCs/>
          <w:color w:val="2B2B2B"/>
          <w:sz w:val="22"/>
          <w:szCs w:val="22"/>
        </w:rPr>
        <w:t xml:space="preserve">secteur </w:t>
      </w:r>
      <w:r>
        <w:rPr>
          <w:color w:val="2B2B2B"/>
          <w:sz w:val="22"/>
          <w:szCs w:val="22"/>
        </w:rPr>
        <w:t xml:space="preserve">industrie mécanique de précision — </w:t>
      </w:r>
      <w:r>
        <w:rPr>
          <w:b/>
          <w:bCs/>
          <w:color w:val="2B2B2B"/>
          <w:sz w:val="22"/>
          <w:szCs w:val="22"/>
        </w:rPr>
        <w:t xml:space="preserve">structure </w:t>
      </w:r>
      <w:r>
        <w:rPr>
          <w:color w:val="2B2B2B"/>
          <w:sz w:val="22"/>
          <w:szCs w:val="22"/>
        </w:rPr>
        <w:t xml:space="preserve">35 salariés, deux sites — </w:t>
      </w:r>
      <w:r>
        <w:rPr>
          <w:b/>
          <w:bCs/>
          <w:color w:val="2B2B2B"/>
          <w:sz w:val="22"/>
          <w:szCs w:val="22"/>
        </w:rPr>
        <w:t xml:space="preserve">CA </w:t>
      </w:r>
      <w:r>
        <w:rPr>
          <w:color w:val="2B2B2B"/>
          <w:sz w:val="22"/>
          <w:szCs w:val="22"/>
        </w:rPr>
        <w:t xml:space="preserve">5,5 M€.</w:t>
      </w:r>
    </w:p>
    <w:p>
      <w:pPr>
        <w:spacing w:after="120" w:line="320"/>
        <w:jc w:val="both"/>
      </w:pPr>
      <w:r>
        <w:rPr>
          <w:color w:val="2B2B2B"/>
          <w:sz w:val="22"/>
          <w:szCs w:val="22"/>
        </w:rPr>
        <w:t xml:space="preserve">Faible appetence pour les outils digitaux. Utilise un logiciel de gestion vieillissant. Pas convaincu par l'IA à priori. Convaincu uniquement par la preuve : ROI tangible sur les 30 premiers jours.</w:t>
      </w:r>
    </w:p>
    <w:p>
      <w:pPr>
        <w:spacing w:after="120" w:line="320"/>
        <w:jc w:val="both"/>
      </w:pPr>
      <w:r>
        <w:rPr>
          <w:color w:val="2B2B2B"/>
          <w:sz w:val="22"/>
          <w:szCs w:val="22"/>
        </w:rPr>
        <w:t xml:space="preserve">Pain points : transmission familiale, modernisation, recrutement de profils techniques rares, gestion de trésorerie sur des cycles longs (6–9 mois entre commande et paiement).</w:t>
      </w:r>
    </w:p>
    <w:p>
      <w:pPr>
        <w:spacing w:after="120" w:line="320"/>
        <w:jc w:val="both"/>
      </w:pPr>
      <w:r>
        <w:rPr>
          <w:color w:val="2B2B2B"/>
          <w:sz w:val="22"/>
          <w:szCs w:val="22"/>
        </w:rPr>
        <w:t xml:space="preserve">Attentes : interface ultra-simple, accent sur le financier et la croissance, un humain joignable en cas de problème, conformité RGPD irréprochable. Prêt à payer Enterprise (199 €) si l'outil supplante son consultant externe actuel à 800 €/mois.</w:t>
      </w:r>
    </w:p>
    <w:p>
      <w:r>
        <w:br w:type="page"/>
      </w:r>
    </w:p>
    <w:p>
      <w:pPr>
        <w:pStyle w:val="Heading1"/>
        <w:spacing w:after="200" w:before="360"/>
      </w:pPr>
      <w:r>
        <w:rPr>
          <w:b/>
          <w:bCs/>
          <w:color w:val="1F2A44"/>
          <w:sz w:val="36"/>
          <w:szCs w:val="36"/>
        </w:rPr>
        <w:t xml:space="preserve">Architecture des dix agents</w:t>
      </w:r>
    </w:p>
    <w:p>
      <w:pPr>
        <w:spacing w:after="120" w:line="320"/>
        <w:jc w:val="both"/>
      </w:pPr>
      <w:r>
        <w:rPr>
          <w:color w:val="2B2B2B"/>
          <w:sz w:val="22"/>
          <w:szCs w:val="22"/>
        </w:rPr>
        <w:t xml:space="preserve">Council 10 repose sur dix agents IA qui travaillent en permanence sur le profil de l'utilisateur, son entreprise et son contexte. L'utilisateur n'interagit jamais directement avec les agents — il parle à l'application, et l'Orchestrateur décide quels agents sollicités pour formuler la réponse.</w:t>
      </w:r>
    </w:p>
    <w:p>
      <w:pPr>
        <w:pStyle w:val="Heading2"/>
        <w:spacing w:after="160" w:before="280"/>
      </w:pPr>
      <w:r>
        <w:rPr>
          <w:b/>
          <w:bCs/>
          <w:color w:val="1F2A44"/>
          <w:sz w:val="28"/>
          <w:szCs w:val="28"/>
        </w:rPr>
        <w:t xml:space="preserve">Vue d'ensemble</w:t>
      </w:r>
    </w:p>
    <w:p>
      <w:pPr>
        <w:spacing w:after="120" w:line="320"/>
        <w:jc w:val="both"/>
      </w:pPr>
      <w:r>
        <w:rPr>
          <w:color w:val="2B2B2B"/>
          <w:sz w:val="22"/>
          <w:szCs w:val="22"/>
        </w:rPr>
        <w:t xml:space="preserve">Les dix agents se répartissent en trois cercles.</w:t>
      </w:r>
    </w:p>
    <w:p>
      <w:pPr>
        <w:pStyle w:val="ListParagraph"/>
        <w:numPr>
          <w:ilvl w:val="0"/>
          <w:numId w:val="2"/>
        </w:numPr>
        <w:spacing w:after="80" w:line="300"/>
      </w:pPr>
      <w:r>
        <w:rPr>
          <w:b/>
          <w:bCs/>
          <w:color w:val="1F2A44"/>
          <w:sz w:val="22"/>
          <w:szCs w:val="22"/>
        </w:rPr>
        <w:t xml:space="preserve">Cercle externe (interface) : </w:t>
      </w:r>
      <w:r>
        <w:rPr>
          <w:color w:val="2B2B2B"/>
          <w:sz w:val="22"/>
          <w:szCs w:val="22"/>
        </w:rPr>
        <w:t xml:space="preserve"> l'Orchestrateur. Unique point d'entrée visible. C'est lui qui parle à l'utilisateur, route les requêtes, synthétise les réponses des autres agents, et garantit la cohérence de la voix.</w:t>
      </w:r>
    </w:p>
    <w:p>
      <w:pPr>
        <w:pStyle w:val="ListParagraph"/>
        <w:numPr>
          <w:ilvl w:val="0"/>
          <w:numId w:val="2"/>
        </w:numPr>
        <w:spacing w:after="80" w:line="300"/>
      </w:pPr>
      <w:r>
        <w:rPr>
          <w:b/>
          <w:bCs/>
          <w:color w:val="1F2A44"/>
          <w:sz w:val="22"/>
          <w:szCs w:val="22"/>
        </w:rPr>
        <w:t xml:space="preserve">Cercle intermédiaire (spécialistes) : </w:t>
      </w:r>
      <w:r>
        <w:rPr>
          <w:color w:val="2B2B2B"/>
          <w:sz w:val="22"/>
          <w:szCs w:val="22"/>
        </w:rPr>
        <w:t xml:space="preserve"> sept agents domaine. Stratège Business, Financier, Coach Croissance, Productivité, Coach Personnel, Veilleur, Critique. Ce sont les experts métier.</w:t>
      </w:r>
    </w:p>
    <w:p>
      <w:pPr>
        <w:pStyle w:val="ListParagraph"/>
        <w:numPr>
          <w:ilvl w:val="0"/>
          <w:numId w:val="2"/>
        </w:numPr>
        <w:spacing w:after="80" w:line="300"/>
      </w:pPr>
      <w:r>
        <w:rPr>
          <w:b/>
          <w:bCs/>
          <w:color w:val="1F2A44"/>
          <w:sz w:val="22"/>
          <w:szCs w:val="22"/>
        </w:rPr>
        <w:t xml:space="preserve">Cercle interne (méta) : </w:t>
      </w:r>
      <w:r>
        <w:rPr>
          <w:color w:val="2B2B2B"/>
          <w:sz w:val="22"/>
          <w:szCs w:val="22"/>
        </w:rPr>
        <w:t xml:space="preserve"> l'Observateur et le Mémoire. Ils ne répondent pas à l'utilisateur — ils alimentent les autres en contexte personnel et historique. C'est ce qui rend l'application profondément personnelle.</w:t>
      </w:r>
    </w:p>
    <w:p>
      <w:pPr>
        <w:pStyle w:val="Heading2"/>
        <w:spacing w:after="160" w:before="280"/>
      </w:pPr>
      <w:r>
        <w:rPr>
          <w:b/>
          <w:bCs/>
          <w:color w:val="1F2A44"/>
          <w:sz w:val="28"/>
          <w:szCs w:val="28"/>
        </w:rPr>
        <w:t xml:space="preserve">Les dix agents en détail</w:t>
      </w:r>
    </w:p>
    <w:p>
      <w:r>
        <w:rPr>
          <w:sz w:val="16"/>
          <w:szCs w:val="16"/>
        </w:rPr>
        <w:t xml:space="preserve"> </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700"/>
        <w:gridCol w:w="2100"/>
        <w:gridCol w:w="2780"/>
        <w:gridCol w:w="2780"/>
      </w:tblGrid>
      <w:tr>
        <w:trPr>
          <w:tblHeader/>
        </w:trPr>
        <w:tc>
          <w:tcPr>
            <w:tcW w:type="dxa" w:w="1700"/>
            <w:tcBorders>
              <w:top w:val="single" w:color="6B7280" w:sz="6"/>
              <w:left w:val="single" w:color="6B7280" w:sz="6"/>
              <w:bottom w:val="single" w:color="6B7280" w:sz="6"/>
              <w:right w:val="single" w:color="6B7280" w:sz="6"/>
            </w:tcBorders>
            <w:shd w:fill="1F2A44" w:val="clear"/>
            <w:tcMar>
              <w:top w:type="dxa" w:w="100"/>
              <w:left w:type="dxa" w:w="140"/>
              <w:bottom w:type="dxa" w:w="100"/>
              <w:right w:type="dxa" w:w="140"/>
            </w:tcMar>
          </w:tcPr>
          <w:p>
            <w:pPr>
              <w:jc w:val="left"/>
            </w:pPr>
            <w:r>
              <w:rPr>
                <w:b/>
                <w:bCs/>
                <w:color w:val="FFFFFF"/>
                <w:sz w:val="20"/>
                <w:szCs w:val="20"/>
              </w:rPr>
              <w:t xml:space="preserve">Agent</w:t>
            </w:r>
          </w:p>
        </w:tc>
        <w:tc>
          <w:tcPr>
            <w:tcW w:type="dxa" w:w="2100"/>
            <w:tcBorders>
              <w:top w:val="single" w:color="6B7280" w:sz="6"/>
              <w:left w:val="single" w:color="6B7280" w:sz="6"/>
              <w:bottom w:val="single" w:color="6B7280" w:sz="6"/>
              <w:right w:val="single" w:color="6B7280" w:sz="6"/>
            </w:tcBorders>
            <w:shd w:fill="1F2A44" w:val="clear"/>
            <w:tcMar>
              <w:top w:type="dxa" w:w="100"/>
              <w:left w:type="dxa" w:w="140"/>
              <w:bottom w:type="dxa" w:w="100"/>
              <w:right w:type="dxa" w:w="140"/>
            </w:tcMar>
          </w:tcPr>
          <w:p>
            <w:pPr>
              <w:jc w:val="left"/>
            </w:pPr>
            <w:r>
              <w:rPr>
                <w:b/>
                <w:bCs/>
                <w:color w:val="FFFFFF"/>
                <w:sz w:val="20"/>
                <w:szCs w:val="20"/>
              </w:rPr>
              <w:t xml:space="preserve">Rôle principal</w:t>
            </w:r>
          </w:p>
        </w:tc>
        <w:tc>
          <w:tcPr>
            <w:tcW w:type="dxa" w:w="2780"/>
            <w:tcBorders>
              <w:top w:val="single" w:color="6B7280" w:sz="6"/>
              <w:left w:val="single" w:color="6B7280" w:sz="6"/>
              <w:bottom w:val="single" w:color="6B7280" w:sz="6"/>
              <w:right w:val="single" w:color="6B7280" w:sz="6"/>
            </w:tcBorders>
            <w:shd w:fill="1F2A44" w:val="clear"/>
            <w:tcMar>
              <w:top w:type="dxa" w:w="100"/>
              <w:left w:type="dxa" w:w="140"/>
              <w:bottom w:type="dxa" w:w="100"/>
              <w:right w:type="dxa" w:w="140"/>
            </w:tcMar>
          </w:tcPr>
          <w:p>
            <w:pPr>
              <w:jc w:val="left"/>
            </w:pPr>
            <w:r>
              <w:rPr>
                <w:b/>
                <w:bCs/>
                <w:color w:val="FFFFFF"/>
                <w:sz w:val="20"/>
                <w:szCs w:val="20"/>
              </w:rPr>
              <w:t xml:space="preserve">Décisions traitées</w:t>
            </w:r>
          </w:p>
        </w:tc>
        <w:tc>
          <w:tcPr>
            <w:tcW w:type="dxa" w:w="2780"/>
            <w:tcBorders>
              <w:top w:val="single" w:color="6B7280" w:sz="6"/>
              <w:left w:val="single" w:color="6B7280" w:sz="6"/>
              <w:bottom w:val="single" w:color="6B7280" w:sz="6"/>
              <w:right w:val="single" w:color="6B7280" w:sz="6"/>
            </w:tcBorders>
            <w:shd w:fill="1F2A44" w:val="clear"/>
            <w:tcMar>
              <w:top w:type="dxa" w:w="100"/>
              <w:left w:type="dxa" w:w="140"/>
              <w:bottom w:type="dxa" w:w="100"/>
              <w:right w:type="dxa" w:w="140"/>
            </w:tcMar>
          </w:tcPr>
          <w:p>
            <w:pPr>
              <w:jc w:val="left"/>
            </w:pPr>
            <w:r>
              <w:rPr>
                <w:b/>
                <w:bCs/>
                <w:color w:val="FFFFFF"/>
                <w:sz w:val="20"/>
                <w:szCs w:val="20"/>
              </w:rPr>
              <w:t xml:space="preserve">Mode d'activation</w:t>
            </w:r>
          </w:p>
        </w:tc>
      </w:tr>
      <w:tr>
        <w:tc>
          <w:tcPr>
            <w:tcW w:type="dxa" w:w="1700"/>
            <w:tcBorders>
              <w:top w:val="single" w:color="6B7280" w:sz="6"/>
              <w:left w:val="single" w:color="6B7280" w:sz="6"/>
              <w:bottom w:val="single" w:color="6B7280" w:sz="6"/>
              <w:right w:val="single" w:color="6B7280" w:sz="6"/>
            </w:tcBorders>
            <w:shd w:fill="F5F1EB" w:val="clear"/>
            <w:tcMar>
              <w:top w:type="dxa" w:w="100"/>
              <w:left w:type="dxa" w:w="140"/>
              <w:bottom w:type="dxa" w:w="100"/>
              <w:right w:type="dxa" w:w="140"/>
            </w:tcMar>
          </w:tcPr>
          <w:p>
            <w:pPr>
              <w:jc w:val="left"/>
            </w:pPr>
            <w:r>
              <w:rPr>
                <w:b/>
                <w:bCs/>
                <w:color w:val="2B2B2B"/>
                <w:sz w:val="20"/>
                <w:szCs w:val="20"/>
              </w:rPr>
              <w:t xml:space="preserve">1. Orchestrateur</w:t>
            </w:r>
          </w:p>
        </w:tc>
        <w:tc>
          <w:tcPr>
            <w:tcW w:type="dxa" w:w="210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Chef d'orchestre</w:t>
            </w:r>
          </w:p>
        </w:tc>
        <w:tc>
          <w:tcPr>
            <w:tcW w:type="dxa" w:w="278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Toutes (route et synthétise)</w:t>
            </w:r>
          </w:p>
        </w:tc>
        <w:tc>
          <w:tcPr>
            <w:tcW w:type="dxa" w:w="278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Permanent — toute interaction</w:t>
            </w:r>
          </w:p>
        </w:tc>
      </w:tr>
      <w:tr>
        <w:tc>
          <w:tcPr>
            <w:tcW w:type="dxa" w:w="1700"/>
            <w:tcBorders>
              <w:top w:val="single" w:color="6B7280" w:sz="6"/>
              <w:left w:val="single" w:color="6B7280" w:sz="6"/>
              <w:bottom w:val="single" w:color="6B7280" w:sz="6"/>
              <w:right w:val="single" w:color="6B7280" w:sz="6"/>
            </w:tcBorders>
            <w:shd w:fill="F5F1EB" w:val="clear"/>
            <w:tcMar>
              <w:top w:type="dxa" w:w="100"/>
              <w:left w:type="dxa" w:w="140"/>
              <w:bottom w:type="dxa" w:w="100"/>
              <w:right w:type="dxa" w:w="140"/>
            </w:tcMar>
          </w:tcPr>
          <w:p>
            <w:pPr>
              <w:jc w:val="left"/>
            </w:pPr>
            <w:r>
              <w:rPr>
                <w:b/>
                <w:bCs/>
                <w:color w:val="2B2B2B"/>
                <w:sz w:val="20"/>
                <w:szCs w:val="20"/>
              </w:rPr>
              <w:t xml:space="preserve">2. Observateur</w:t>
            </w:r>
          </w:p>
        </w:tc>
        <w:tc>
          <w:tcPr>
            <w:tcW w:type="dxa" w:w="210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Profilage de l'utilisateur</w:t>
            </w:r>
          </w:p>
        </w:tc>
        <w:tc>
          <w:tcPr>
            <w:tcW w:type="dxa" w:w="278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Aucune — alimente les autres</w:t>
            </w:r>
          </w:p>
        </w:tc>
        <w:tc>
          <w:tcPr>
            <w:tcW w:type="dxa" w:w="278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Permanent — apprend en continu</w:t>
            </w:r>
          </w:p>
        </w:tc>
      </w:tr>
      <w:tr>
        <w:tc>
          <w:tcPr>
            <w:tcW w:type="dxa" w:w="1700"/>
            <w:tcBorders>
              <w:top w:val="single" w:color="6B7280" w:sz="6"/>
              <w:left w:val="single" w:color="6B7280" w:sz="6"/>
              <w:bottom w:val="single" w:color="6B7280" w:sz="6"/>
              <w:right w:val="single" w:color="6B7280" w:sz="6"/>
            </w:tcBorders>
            <w:shd w:fill="F5F1EB" w:val="clear"/>
            <w:tcMar>
              <w:top w:type="dxa" w:w="100"/>
              <w:left w:type="dxa" w:w="140"/>
              <w:bottom w:type="dxa" w:w="100"/>
              <w:right w:type="dxa" w:w="140"/>
            </w:tcMar>
          </w:tcPr>
          <w:p>
            <w:pPr>
              <w:jc w:val="left"/>
            </w:pPr>
            <w:r>
              <w:rPr>
                <w:b/>
                <w:bCs/>
                <w:color w:val="2B2B2B"/>
                <w:sz w:val="20"/>
                <w:szCs w:val="20"/>
              </w:rPr>
              <w:t xml:space="preserve">3. Mémoire</w:t>
            </w:r>
          </w:p>
        </w:tc>
        <w:tc>
          <w:tcPr>
            <w:tcW w:type="dxa" w:w="210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Historique et contexte</w:t>
            </w:r>
          </w:p>
        </w:tc>
        <w:tc>
          <w:tcPr>
            <w:tcW w:type="dxa" w:w="278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Aucune — nourrit les agents</w:t>
            </w:r>
          </w:p>
        </w:tc>
        <w:tc>
          <w:tcPr>
            <w:tcW w:type="dxa" w:w="278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Permanent — indexe les décisions</w:t>
            </w:r>
          </w:p>
        </w:tc>
      </w:tr>
      <w:tr>
        <w:tc>
          <w:tcPr>
            <w:tcW w:type="dxa" w:w="1700"/>
            <w:tcBorders>
              <w:top w:val="single" w:color="6B7280" w:sz="6"/>
              <w:left w:val="single" w:color="6B7280" w:sz="6"/>
              <w:bottom w:val="single" w:color="6B7280" w:sz="6"/>
              <w:right w:val="single" w:color="6B7280" w:sz="6"/>
            </w:tcBorders>
            <w:shd w:fill="F5F1EB" w:val="clear"/>
            <w:tcMar>
              <w:top w:type="dxa" w:w="100"/>
              <w:left w:type="dxa" w:w="140"/>
              <w:bottom w:type="dxa" w:w="100"/>
              <w:right w:type="dxa" w:w="140"/>
            </w:tcMar>
          </w:tcPr>
          <w:p>
            <w:pPr>
              <w:jc w:val="left"/>
            </w:pPr>
            <w:r>
              <w:rPr>
                <w:b/>
                <w:bCs/>
                <w:color w:val="2B2B2B"/>
                <w:sz w:val="20"/>
                <w:szCs w:val="20"/>
              </w:rPr>
              <w:t xml:space="preserve">4. Stratège Business</w:t>
            </w:r>
          </w:p>
        </w:tc>
        <w:tc>
          <w:tcPr>
            <w:tcW w:type="dxa" w:w="210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Décisions opérationnelles</w:t>
            </w:r>
          </w:p>
        </w:tc>
        <w:tc>
          <w:tcPr>
            <w:tcW w:type="dxa" w:w="278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Devis, prix, négo, embauche, fournisseurs</w:t>
            </w:r>
          </w:p>
        </w:tc>
        <w:tc>
          <w:tcPr>
            <w:tcW w:type="dxa" w:w="278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Sollicitation directe ou Council</w:t>
            </w:r>
          </w:p>
        </w:tc>
      </w:tr>
      <w:tr>
        <w:tc>
          <w:tcPr>
            <w:tcW w:type="dxa" w:w="1700"/>
            <w:tcBorders>
              <w:top w:val="single" w:color="6B7280" w:sz="6"/>
              <w:left w:val="single" w:color="6B7280" w:sz="6"/>
              <w:bottom w:val="single" w:color="6B7280" w:sz="6"/>
              <w:right w:val="single" w:color="6B7280" w:sz="6"/>
            </w:tcBorders>
            <w:shd w:fill="F5F1EB" w:val="clear"/>
            <w:tcMar>
              <w:top w:type="dxa" w:w="100"/>
              <w:left w:type="dxa" w:w="140"/>
              <w:bottom w:type="dxa" w:w="100"/>
              <w:right w:type="dxa" w:w="140"/>
            </w:tcMar>
          </w:tcPr>
          <w:p>
            <w:pPr>
              <w:jc w:val="left"/>
            </w:pPr>
            <w:r>
              <w:rPr>
                <w:b/>
                <w:bCs/>
                <w:color w:val="2B2B2B"/>
                <w:sz w:val="20"/>
                <w:szCs w:val="20"/>
              </w:rPr>
              <w:t xml:space="preserve">5. Financier</w:t>
            </w:r>
          </w:p>
        </w:tc>
        <w:tc>
          <w:tcPr>
            <w:tcW w:type="dxa" w:w="210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Argent et structure</w:t>
            </w:r>
          </w:p>
        </w:tc>
        <w:tc>
          <w:tcPr>
            <w:tcW w:type="dxa" w:w="278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Trésorerie, fiscalité, holding, ratios</w:t>
            </w:r>
          </w:p>
        </w:tc>
        <w:tc>
          <w:tcPr>
            <w:tcW w:type="dxa" w:w="278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Sollicitation directe ou Council</w:t>
            </w:r>
          </w:p>
        </w:tc>
      </w:tr>
      <w:tr>
        <w:tc>
          <w:tcPr>
            <w:tcW w:type="dxa" w:w="1700"/>
            <w:tcBorders>
              <w:top w:val="single" w:color="6B7280" w:sz="6"/>
              <w:left w:val="single" w:color="6B7280" w:sz="6"/>
              <w:bottom w:val="single" w:color="6B7280" w:sz="6"/>
              <w:right w:val="single" w:color="6B7280" w:sz="6"/>
            </w:tcBorders>
            <w:shd w:fill="F5F1EB" w:val="clear"/>
            <w:tcMar>
              <w:top w:type="dxa" w:w="100"/>
              <w:left w:type="dxa" w:w="140"/>
              <w:bottom w:type="dxa" w:w="100"/>
              <w:right w:type="dxa" w:w="140"/>
            </w:tcMar>
          </w:tcPr>
          <w:p>
            <w:pPr>
              <w:jc w:val="left"/>
            </w:pPr>
            <w:r>
              <w:rPr>
                <w:b/>
                <w:bCs/>
                <w:color w:val="2B2B2B"/>
                <w:sz w:val="20"/>
                <w:szCs w:val="20"/>
              </w:rPr>
              <w:t xml:space="preserve">6. Coach Croissance</w:t>
            </w:r>
          </w:p>
        </w:tc>
        <w:tc>
          <w:tcPr>
            <w:tcW w:type="dxa" w:w="210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Expansion et M&amp;A</w:t>
            </w:r>
          </w:p>
        </w:tc>
        <w:tc>
          <w:tcPr>
            <w:tcW w:type="dxa" w:w="278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Rachat, financement, expansion</w:t>
            </w:r>
          </w:p>
        </w:tc>
        <w:tc>
          <w:tcPr>
            <w:tcW w:type="dxa" w:w="278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Sollicitation directe ou Council</w:t>
            </w:r>
          </w:p>
        </w:tc>
      </w:tr>
      <w:tr>
        <w:tc>
          <w:tcPr>
            <w:tcW w:type="dxa" w:w="1700"/>
            <w:tcBorders>
              <w:top w:val="single" w:color="6B7280" w:sz="6"/>
              <w:left w:val="single" w:color="6B7280" w:sz="6"/>
              <w:bottom w:val="single" w:color="6B7280" w:sz="6"/>
              <w:right w:val="single" w:color="6B7280" w:sz="6"/>
            </w:tcBorders>
            <w:shd w:fill="F5F1EB" w:val="clear"/>
            <w:tcMar>
              <w:top w:type="dxa" w:w="100"/>
              <w:left w:type="dxa" w:w="140"/>
              <w:bottom w:type="dxa" w:w="100"/>
              <w:right w:type="dxa" w:w="140"/>
            </w:tcMar>
          </w:tcPr>
          <w:p>
            <w:pPr>
              <w:jc w:val="left"/>
            </w:pPr>
            <w:r>
              <w:rPr>
                <w:b/>
                <w:bCs/>
                <w:color w:val="2B2B2B"/>
                <w:sz w:val="20"/>
                <w:szCs w:val="20"/>
              </w:rPr>
              <w:t xml:space="preserve">7. Productivité</w:t>
            </w:r>
          </w:p>
        </w:tc>
        <w:tc>
          <w:tcPr>
            <w:tcW w:type="dxa" w:w="210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Temps et processus</w:t>
            </w:r>
          </w:p>
        </w:tc>
        <w:tc>
          <w:tcPr>
            <w:tcW w:type="dxa" w:w="278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Priorités, délégation, automatisation</w:t>
            </w:r>
          </w:p>
        </w:tc>
        <w:tc>
          <w:tcPr>
            <w:tcW w:type="dxa" w:w="278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Sollicitation directe ou Council</w:t>
            </w:r>
          </w:p>
        </w:tc>
      </w:tr>
      <w:tr>
        <w:tc>
          <w:tcPr>
            <w:tcW w:type="dxa" w:w="1700"/>
            <w:tcBorders>
              <w:top w:val="single" w:color="6B7280" w:sz="6"/>
              <w:left w:val="single" w:color="6B7280" w:sz="6"/>
              <w:bottom w:val="single" w:color="6B7280" w:sz="6"/>
              <w:right w:val="single" w:color="6B7280" w:sz="6"/>
            </w:tcBorders>
            <w:shd w:fill="F5F1EB" w:val="clear"/>
            <w:tcMar>
              <w:top w:type="dxa" w:w="100"/>
              <w:left w:type="dxa" w:w="140"/>
              <w:bottom w:type="dxa" w:w="100"/>
              <w:right w:type="dxa" w:w="140"/>
            </w:tcMar>
          </w:tcPr>
          <w:p>
            <w:pPr>
              <w:jc w:val="left"/>
            </w:pPr>
            <w:r>
              <w:rPr>
                <w:b/>
                <w:bCs/>
                <w:color w:val="2B2B2B"/>
                <w:sz w:val="20"/>
                <w:szCs w:val="20"/>
              </w:rPr>
              <w:t xml:space="preserve">8. Coach Personnel</w:t>
            </w:r>
          </w:p>
        </w:tc>
        <w:tc>
          <w:tcPr>
            <w:tcW w:type="dxa" w:w="210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Équilibre humain</w:t>
            </w:r>
          </w:p>
        </w:tc>
        <w:tc>
          <w:tcPr>
            <w:tcW w:type="dxa" w:w="278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Vie pro/perso, santé mentale, énergie</w:t>
            </w:r>
          </w:p>
        </w:tc>
        <w:tc>
          <w:tcPr>
            <w:tcW w:type="dxa" w:w="278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Sollicitation directe ou alerte auto</w:t>
            </w:r>
          </w:p>
        </w:tc>
      </w:tr>
      <w:tr>
        <w:tc>
          <w:tcPr>
            <w:tcW w:type="dxa" w:w="1700"/>
            <w:tcBorders>
              <w:top w:val="single" w:color="6B7280" w:sz="6"/>
              <w:left w:val="single" w:color="6B7280" w:sz="6"/>
              <w:bottom w:val="single" w:color="6B7280" w:sz="6"/>
              <w:right w:val="single" w:color="6B7280" w:sz="6"/>
            </w:tcBorders>
            <w:shd w:fill="F5F1EB" w:val="clear"/>
            <w:tcMar>
              <w:top w:type="dxa" w:w="100"/>
              <w:left w:type="dxa" w:w="140"/>
              <w:bottom w:type="dxa" w:w="100"/>
              <w:right w:type="dxa" w:w="140"/>
            </w:tcMar>
          </w:tcPr>
          <w:p>
            <w:pPr>
              <w:jc w:val="left"/>
            </w:pPr>
            <w:r>
              <w:rPr>
                <w:b/>
                <w:bCs/>
                <w:color w:val="2B2B2B"/>
                <w:sz w:val="20"/>
                <w:szCs w:val="20"/>
              </w:rPr>
              <w:t xml:space="preserve">9. Veilleur</w:t>
            </w:r>
          </w:p>
        </w:tc>
        <w:tc>
          <w:tcPr>
            <w:tcW w:type="dxa" w:w="210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Veille et opportunités</w:t>
            </w:r>
          </w:p>
        </w:tc>
        <w:tc>
          <w:tcPr>
            <w:tcW w:type="dxa" w:w="278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Actu secteur, concurrence, réglementation</w:t>
            </w:r>
          </w:p>
        </w:tc>
        <w:tc>
          <w:tcPr>
            <w:tcW w:type="dxa" w:w="278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Permanent — alerte si pertinent</w:t>
            </w:r>
          </w:p>
        </w:tc>
      </w:tr>
      <w:tr>
        <w:tc>
          <w:tcPr>
            <w:tcW w:type="dxa" w:w="1700"/>
            <w:tcBorders>
              <w:top w:val="single" w:color="6B7280" w:sz="6"/>
              <w:left w:val="single" w:color="6B7280" w:sz="6"/>
              <w:bottom w:val="single" w:color="6B7280" w:sz="6"/>
              <w:right w:val="single" w:color="6B7280" w:sz="6"/>
            </w:tcBorders>
            <w:shd w:fill="F5F1EB" w:val="clear"/>
            <w:tcMar>
              <w:top w:type="dxa" w:w="100"/>
              <w:left w:type="dxa" w:w="140"/>
              <w:bottom w:type="dxa" w:w="100"/>
              <w:right w:type="dxa" w:w="140"/>
            </w:tcMar>
          </w:tcPr>
          <w:p>
            <w:pPr>
              <w:jc w:val="left"/>
            </w:pPr>
            <w:r>
              <w:rPr>
                <w:b/>
                <w:bCs/>
                <w:color w:val="2B2B2B"/>
                <w:sz w:val="20"/>
                <w:szCs w:val="20"/>
              </w:rPr>
              <w:t xml:space="preserve">10. Critique</w:t>
            </w:r>
          </w:p>
        </w:tc>
        <w:tc>
          <w:tcPr>
            <w:tcW w:type="dxa" w:w="210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Avocat du diable</w:t>
            </w:r>
          </w:p>
        </w:tc>
        <w:tc>
          <w:tcPr>
            <w:tcW w:type="dxa" w:w="278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Challenge toute décision importante</w:t>
            </w:r>
          </w:p>
        </w:tc>
        <w:tc>
          <w:tcPr>
            <w:tcW w:type="dxa" w:w="278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Auto-déclenché sur décisions &gt; seuil</w:t>
            </w:r>
          </w:p>
        </w:tc>
      </w:tr>
    </w:tbl>
    <w:p>
      <w:r>
        <w:rPr>
          <w:sz w:val="16"/>
          <w:szCs w:val="16"/>
        </w:rPr>
        <w:t xml:space="preserve"> </w:t>
      </w:r>
    </w:p>
    <w:p>
      <w:pPr>
        <w:pStyle w:val="Heading2"/>
        <w:spacing w:after="160" w:before="280"/>
      </w:pPr>
      <w:r>
        <w:rPr>
          <w:b/>
          <w:bCs/>
          <w:color w:val="1F2A44"/>
          <w:sz w:val="28"/>
          <w:szCs w:val="28"/>
        </w:rPr>
        <w:t xml:space="preserve">L'Orchestrateur — le chef d'orchestre</w:t>
      </w:r>
    </w:p>
    <w:p>
      <w:pPr>
        <w:spacing w:after="120" w:line="320"/>
        <w:jc w:val="both"/>
      </w:pPr>
      <w:r>
        <w:rPr>
          <w:color w:val="2B2B2B"/>
          <w:sz w:val="22"/>
          <w:szCs w:val="22"/>
        </w:rPr>
        <w:t xml:space="preserve">Premier agent activé à chaque interaction. Reçoit la requête de l'utilisateur, identifie son intention, détermine quels agents spécialistes solliciter, attend leurs réponses, les compare, les synthétise et restitue à l'utilisateur.</w:t>
      </w:r>
    </w:p>
    <w:p>
      <w:pPr>
        <w:spacing w:after="120" w:line="320"/>
        <w:jc w:val="both"/>
      </w:pPr>
      <w:r>
        <w:rPr>
          <w:color w:val="2B2B2B"/>
          <w:sz w:val="22"/>
          <w:szCs w:val="22"/>
        </w:rPr>
        <w:t xml:space="preserve">Spécifiquement, l'Orchestrateur implémente trois modes de réponse. Mode rapide — un seul agent suffit, réponse en 2–3 secondes. Mode multi — deux à trois agents en parallèle, fusion en 5–10 secondes. Mode Council complet — cinq agents ou plus, reproduction du protocole Kostia2 (Contrarian, First Principles, Expansionist, Outsider, Executor), synthèse en 20–40 secondes pour les décisions stratégiques.</w:t>
      </w:r>
    </w:p>
    <w:p>
      <w:pPr>
        <w:spacing w:after="120" w:line="320"/>
        <w:jc w:val="both"/>
      </w:pPr>
      <w:r>
        <w:rPr>
          <w:color w:val="2B2B2B"/>
          <w:sz w:val="22"/>
          <w:szCs w:val="22"/>
        </w:rPr>
        <w:t xml:space="preserve">Le seuil de déclenchement du Council complet est calibré sur le contexte : enjeu déclaré par l'utilisateur, montant impliqué, mots-clés détectés (rachat, embauche, licenciement, investissement). Si l'utilisateur ne déclenche pas explicitement le Council, l'Orchestrateur peut le proposer « cette décision mérite un Council, je convoque les cinq experts ? ».</w:t>
      </w:r>
    </w:p>
    <w:p>
      <w:pPr>
        <w:pStyle w:val="Heading2"/>
        <w:spacing w:after="160" w:before="280"/>
      </w:pPr>
      <w:r>
        <w:rPr>
          <w:b/>
          <w:bCs/>
          <w:color w:val="1F2A44"/>
          <w:sz w:val="28"/>
          <w:szCs w:val="28"/>
        </w:rPr>
        <w:t xml:space="preserve">L'Observateur — votre cartographe intérieur</w:t>
      </w:r>
    </w:p>
    <w:p>
      <w:pPr>
        <w:spacing w:after="120" w:line="320"/>
        <w:jc w:val="both"/>
      </w:pPr>
      <w:r>
        <w:rPr>
          <w:color w:val="2B2B2B"/>
          <w:sz w:val="22"/>
          <w:szCs w:val="22"/>
        </w:rPr>
        <w:t xml:space="preserve">Agent invisible, n'écrit jamais directement à l'utilisateur. Construit et maintient un profil multidimensionnel à partir de quatre sources de données.</w:t>
      </w:r>
    </w:p>
    <w:p>
      <w:pPr>
        <w:pStyle w:val="ListParagraph"/>
        <w:numPr>
          <w:ilvl w:val="0"/>
          <w:numId w:val="2"/>
        </w:numPr>
        <w:spacing w:after="80" w:line="300"/>
      </w:pPr>
      <w:r>
        <w:rPr>
          <w:b/>
          <w:bCs/>
          <w:color w:val="1F2A44"/>
          <w:sz w:val="22"/>
          <w:szCs w:val="22"/>
        </w:rPr>
        <w:t xml:space="preserve">Déclaratif —  </w:t>
      </w:r>
      <w:r>
        <w:rPr>
          <w:color w:val="2B2B2B"/>
          <w:sz w:val="22"/>
          <w:szCs w:val="22"/>
        </w:rPr>
        <w:t xml:space="preserve">ce que l'utilisateur a répondu à l'onboarding et au questionnaire psychométrique.</w:t>
      </w:r>
    </w:p>
    <w:p>
      <w:pPr>
        <w:pStyle w:val="ListParagraph"/>
        <w:numPr>
          <w:ilvl w:val="0"/>
          <w:numId w:val="2"/>
        </w:numPr>
        <w:spacing w:after="80" w:line="300"/>
      </w:pPr>
      <w:r>
        <w:rPr>
          <w:b/>
          <w:bCs/>
          <w:color w:val="1F2A44"/>
          <w:sz w:val="22"/>
          <w:szCs w:val="22"/>
        </w:rPr>
        <w:t xml:space="preserve">Comportemental —  </w:t>
      </w:r>
      <w:r>
        <w:rPr>
          <w:color w:val="2B2B2B"/>
          <w:sz w:val="22"/>
          <w:szCs w:val="22"/>
        </w:rPr>
        <w:t xml:space="preserve">rythme et longueur des messages, vocabulaire, heures de connexion, durée de réflexion entre question et action, taux d'acceptation des conseils.</w:t>
      </w:r>
    </w:p>
    <w:p>
      <w:pPr>
        <w:pStyle w:val="ListParagraph"/>
        <w:numPr>
          <w:ilvl w:val="0"/>
          <w:numId w:val="2"/>
        </w:numPr>
        <w:spacing w:after="80" w:line="300"/>
      </w:pPr>
      <w:r>
        <w:rPr>
          <w:b/>
          <w:bCs/>
          <w:color w:val="1F2A44"/>
          <w:sz w:val="22"/>
          <w:szCs w:val="22"/>
        </w:rPr>
        <w:t xml:space="preserve">Contextuel —  </w:t>
      </w:r>
      <w:r>
        <w:rPr>
          <w:color w:val="2B2B2B"/>
          <w:sz w:val="22"/>
          <w:szCs w:val="22"/>
        </w:rPr>
        <w:t xml:space="preserve">type de décisions sollicitées (opérationnel vs stratégique), agents préférés, périodes d'activité intense vs creuse.</w:t>
      </w:r>
    </w:p>
    <w:p>
      <w:pPr>
        <w:pStyle w:val="ListParagraph"/>
        <w:numPr>
          <w:ilvl w:val="0"/>
          <w:numId w:val="2"/>
        </w:numPr>
        <w:spacing w:after="80" w:line="300"/>
      </w:pPr>
      <w:r>
        <w:rPr>
          <w:b/>
          <w:bCs/>
          <w:color w:val="1F2A44"/>
          <w:sz w:val="22"/>
          <w:szCs w:val="22"/>
        </w:rPr>
        <w:t xml:space="preserve">Résultat —  </w:t>
      </w:r>
      <w:r>
        <w:rPr>
          <w:color w:val="2B2B2B"/>
          <w:sz w:val="22"/>
          <w:szCs w:val="22"/>
        </w:rPr>
        <w:t xml:space="preserve">feedback explicite (les conseils ont-ils marché ?) et implicite (l'utilisateur revient-il sur le sujet ?).</w:t>
      </w:r>
    </w:p>
    <w:p>
      <w:pPr>
        <w:spacing w:after="120" w:line="320"/>
        <w:jc w:val="both"/>
      </w:pPr>
      <w:r>
        <w:rPr>
          <w:color w:val="2B2B2B"/>
          <w:sz w:val="22"/>
          <w:szCs w:val="22"/>
        </w:rPr>
        <w:t xml:space="preserve">Le profil produit par l'Observateur est partagé à tous les autres agents avant chaque réponse, sous forme d'un brief de 200 mots qui inclut le style de communication recommandé (direct, pédagogue, challengeant, etc.), le niveau de détail attendu, et les angles morts connus de l'utilisateur.</w:t>
      </w:r>
    </w:p>
    <w:p>
      <w:pPr>
        <w:pStyle w:val="Heading2"/>
        <w:spacing w:after="160" w:before="280"/>
      </w:pPr>
      <w:r>
        <w:rPr>
          <w:b/>
          <w:bCs/>
          <w:color w:val="1F2A44"/>
          <w:sz w:val="28"/>
          <w:szCs w:val="28"/>
        </w:rPr>
        <w:t xml:space="preserve">Le Mémoire — votre histoire décisionnelle</w:t>
      </w:r>
    </w:p>
    <w:p>
      <w:pPr>
        <w:spacing w:after="120" w:line="320"/>
        <w:jc w:val="both"/>
      </w:pPr>
      <w:r>
        <w:rPr>
          <w:color w:val="2B2B2B"/>
          <w:sz w:val="22"/>
          <w:szCs w:val="22"/>
        </w:rPr>
        <w:t xml:space="preserve">Stocke et indexe l'intégralité des interactions, des décisions et de leurs résultats. Trois rôles.</w:t>
      </w:r>
    </w:p>
    <w:p>
      <w:pPr>
        <w:pStyle w:val="ListParagraph"/>
        <w:numPr>
          <w:ilvl w:val="0"/>
          <w:numId w:val="2"/>
        </w:numPr>
        <w:spacing w:after="80" w:line="300"/>
      </w:pPr>
      <w:r>
        <w:rPr>
          <w:b/>
          <w:bCs/>
          <w:color w:val="1F2A44"/>
          <w:sz w:val="22"/>
          <w:szCs w:val="22"/>
        </w:rPr>
        <w:t xml:space="preserve">Récupération —  </w:t>
      </w:r>
      <w:r>
        <w:rPr>
          <w:color w:val="2B2B2B"/>
          <w:sz w:val="22"/>
          <w:szCs w:val="22"/>
        </w:rPr>
        <w:t xml:space="preserve">avant chaque réponse, fournit aux agents le contexte pertinent (décisions antérieures sur le même sujet, données de l'entreprise, conversations récentes).</w:t>
      </w:r>
    </w:p>
    <w:p>
      <w:pPr>
        <w:pStyle w:val="ListParagraph"/>
        <w:numPr>
          <w:ilvl w:val="0"/>
          <w:numId w:val="2"/>
        </w:numPr>
        <w:spacing w:after="80" w:line="300"/>
      </w:pPr>
      <w:r>
        <w:rPr>
          <w:b/>
          <w:bCs/>
          <w:color w:val="1F2A44"/>
          <w:sz w:val="22"/>
          <w:szCs w:val="22"/>
        </w:rPr>
        <w:t xml:space="preserve">Suivi —  </w:t>
      </w:r>
      <w:r>
        <w:rPr>
          <w:color w:val="2B2B2B"/>
          <w:sz w:val="22"/>
          <w:szCs w:val="22"/>
        </w:rPr>
        <w:t xml:space="preserve">demande à l'utilisateur, 7 jours après une décision importante, le résultat. « Vous aviez décidé d'augmenter votre devis Dupont de 12 %. Quelle a été sa réaction ? ». Ce feedback alimente l'Observateur et la qualité future des conseils.</w:t>
      </w:r>
    </w:p>
    <w:p>
      <w:pPr>
        <w:pStyle w:val="ListParagraph"/>
        <w:numPr>
          <w:ilvl w:val="0"/>
          <w:numId w:val="2"/>
        </w:numPr>
        <w:spacing w:after="80" w:line="300"/>
      </w:pPr>
      <w:r>
        <w:rPr>
          <w:b/>
          <w:bCs/>
          <w:color w:val="1F2A44"/>
          <w:sz w:val="22"/>
          <w:szCs w:val="22"/>
        </w:rPr>
        <w:t xml:space="preserve">Reflet —  </w:t>
      </w:r>
      <w:r>
        <w:rPr>
          <w:color w:val="2B2B2B"/>
          <w:sz w:val="22"/>
          <w:szCs w:val="22"/>
        </w:rPr>
        <w:t xml:space="preserve">fournit un dashboard périodique des décisions prises, taux de réussite, patterns détectés. « Sur les 6 derniers mois, vous avez accepté 80 % des conseils du Stratège mais seulement 30 % de ceux du Coach Personnel. »</w:t>
      </w:r>
    </w:p>
    <w:p>
      <w:pPr>
        <w:spacing w:after="120" w:line="320"/>
        <w:jc w:val="both"/>
      </w:pPr>
      <w:r>
        <w:rPr>
          <w:color w:val="2B2B2B"/>
          <w:sz w:val="22"/>
          <w:szCs w:val="22"/>
        </w:rPr>
        <w:t xml:space="preserve">Le Mémoire est techniquement implementé via une base vectorielle (embeddings) couplée à un graphe de relations entre décisions, projets, et personnes.</w:t>
      </w:r>
    </w:p>
    <w:p>
      <w:pPr>
        <w:pStyle w:val="Heading2"/>
        <w:spacing w:after="160" w:before="280"/>
      </w:pPr>
      <w:r>
        <w:rPr>
          <w:b/>
          <w:bCs/>
          <w:color w:val="1F2A44"/>
          <w:sz w:val="28"/>
          <w:szCs w:val="28"/>
        </w:rPr>
        <w:t xml:space="preserve">Les sept spécialistes métier</w:t>
      </w:r>
    </w:p>
    <w:p>
      <w:pPr>
        <w:pStyle w:val="Heading3"/>
        <w:spacing w:after="120" w:before="200"/>
      </w:pPr>
      <w:r>
        <w:rPr>
          <w:b/>
          <w:bCs/>
          <w:color w:val="D4A574"/>
          <w:sz w:val="24"/>
          <w:szCs w:val="24"/>
        </w:rPr>
        <w:t xml:space="preserve">4. Stratège Business</w:t>
      </w:r>
    </w:p>
    <w:p>
      <w:pPr>
        <w:spacing w:after="120" w:line="320"/>
        <w:jc w:val="both"/>
      </w:pPr>
      <w:r>
        <w:rPr>
          <w:color w:val="2B2B2B"/>
          <w:sz w:val="22"/>
          <w:szCs w:val="22"/>
        </w:rPr>
        <w:t xml:space="preserve">Le quotidien opérationnel. Cadrage de devis (prix, marges, conditions), négociation client (concessions à lacher, lignes à tenir), recrutement (fiche de poste, salaire, canaux), choix de fournisseurs, marketing local. Style direct, recommandations chiffrées, exemples concrets BTP au lancement, élargi ensuite. Sa bibliothèque de cas inclut 200+ situations classiques d'artisanat et PME.</w:t>
      </w:r>
    </w:p>
    <w:p>
      <w:pPr>
        <w:pStyle w:val="Heading3"/>
        <w:spacing w:after="120" w:before="200"/>
      </w:pPr>
      <w:r>
        <w:rPr>
          <w:b/>
          <w:bCs/>
          <w:color w:val="D4A574"/>
          <w:sz w:val="24"/>
          <w:szCs w:val="24"/>
        </w:rPr>
        <w:t xml:space="preserve">5. Financier</w:t>
      </w:r>
    </w:p>
    <w:p>
      <w:pPr>
        <w:spacing w:after="120" w:line="320"/>
        <w:jc w:val="both"/>
      </w:pPr>
      <w:r>
        <w:rPr>
          <w:color w:val="2B2B2B"/>
          <w:sz w:val="22"/>
          <w:szCs w:val="22"/>
        </w:rPr>
        <w:t xml:space="preserve">Trésorerie prévisionnelle, gestion de la TVA, relations bancaires, structure holding (intérêt fiscal, IS/IR, remontée dividendes mère-fille), simulation d'investissement, ratios clés (BFR, EBE, ROI). Pose des disclaimers systématiques sur la dimension non-comptable (« un expert-comptable doit valider »). Connecte aux données banque/compta via API si l'utilisateur le souhaite.</w:t>
      </w:r>
    </w:p>
    <w:p>
      <w:pPr>
        <w:pStyle w:val="Heading3"/>
        <w:spacing w:after="120" w:before="200"/>
      </w:pPr>
      <w:r>
        <w:rPr>
          <w:b/>
          <w:bCs/>
          <w:color w:val="D4A574"/>
          <w:sz w:val="24"/>
          <w:szCs w:val="24"/>
        </w:rPr>
        <w:t xml:space="preserve">6. Coach Croissance</w:t>
      </w:r>
    </w:p>
    <w:p>
      <w:pPr>
        <w:spacing w:after="120" w:line="320"/>
        <w:jc w:val="both"/>
      </w:pPr>
      <w:r>
        <w:rPr>
          <w:color w:val="2B2B2B"/>
          <w:sz w:val="22"/>
          <w:szCs w:val="22"/>
        </w:rPr>
        <w:t xml:space="preserve">Spécialiste du passage d'échelle. Rachat de société (due diligence, valorisation, structuration LBO/OBO), financement (prêt bancaire, Bpifrance, levée de dette), expansion géographique, diversification d'offre. Maquette les scénarios financiers, identifie les ratios clés, alerte sur les pièges classiques (sur-paiement, due diligence bâclée, structure fiscalement sous-optimale).</w:t>
      </w:r>
    </w:p>
    <w:p>
      <w:pPr>
        <w:pStyle w:val="Heading3"/>
        <w:spacing w:after="120" w:before="200"/>
      </w:pPr>
      <w:r>
        <w:rPr>
          <w:b/>
          <w:bCs/>
          <w:color w:val="D4A574"/>
          <w:sz w:val="24"/>
          <w:szCs w:val="24"/>
        </w:rPr>
        <w:t xml:space="preserve">7. Productivité</w:t>
      </w:r>
    </w:p>
    <w:p>
      <w:pPr>
        <w:spacing w:after="120" w:line="320"/>
        <w:jc w:val="both"/>
      </w:pPr>
      <w:r>
        <w:rPr>
          <w:color w:val="2B2B2B"/>
          <w:sz w:val="22"/>
          <w:szCs w:val="22"/>
        </w:rPr>
        <w:t xml:space="preserve">Le temps est la seule ressource non renouvelable. Cet agent priorise (Eisenhower contextualisé), détecte les pertes de temps récurrentes, propose des délégations concrètes (à qui, comment briefer), recommande des automatisations (Zapier, Make), structure les rituels d'équipe (1:1, weekly, monthly review).</w:t>
      </w:r>
    </w:p>
    <w:p>
      <w:pPr>
        <w:pStyle w:val="Heading3"/>
        <w:spacing w:after="120" w:before="200"/>
      </w:pPr>
      <w:r>
        <w:rPr>
          <w:b/>
          <w:bCs/>
          <w:color w:val="D4A574"/>
          <w:sz w:val="24"/>
          <w:szCs w:val="24"/>
        </w:rPr>
        <w:t xml:space="preserve">8. Coach Personnel</w:t>
      </w:r>
    </w:p>
    <w:p>
      <w:pPr>
        <w:spacing w:after="120" w:line="320"/>
        <w:jc w:val="both"/>
      </w:pPr>
      <w:r>
        <w:rPr>
          <w:color w:val="2B2B2B"/>
          <w:sz w:val="22"/>
          <w:szCs w:val="22"/>
        </w:rPr>
        <w:t xml:space="preserve">L'agent éthiquement le plus délicat. Ne joue pas le thérapeute. Son rôle est d'aider l'entrepreneur à maintenir l'équilibre opérationnel : sommeil, sport, vie de famille, gestion du stress, signaux de burn-out. Détecte les patterns inquietants (heures tardives récurrentes, vocabulaire de surcharge) et pose des questions — jamais de diagnostic. Oriente vers un professionnel humain au-delà d'un seuil.</w:t>
      </w:r>
    </w:p>
    <w:p>
      <w:pPr>
        <w:pStyle w:val="Heading3"/>
        <w:spacing w:after="120" w:before="200"/>
      </w:pPr>
      <w:r>
        <w:rPr>
          <w:b/>
          <w:bCs/>
          <w:color w:val="D4A574"/>
          <w:sz w:val="24"/>
          <w:szCs w:val="24"/>
        </w:rPr>
        <w:t xml:space="preserve">9. Veilleur</w:t>
      </w:r>
    </w:p>
    <w:p>
      <w:pPr>
        <w:spacing w:after="120" w:line="320"/>
        <w:jc w:val="both"/>
      </w:pPr>
      <w:r>
        <w:rPr>
          <w:color w:val="2B2B2B"/>
          <w:sz w:val="22"/>
          <w:szCs w:val="22"/>
        </w:rPr>
        <w:t xml:space="preserve">Tourne en arrière-plan 24/7. Scan de l'actualité secteur (BTP, artisanat, fiscalité), évolutions réglementaires (RE2020, MaPrimeRénov, RGE), opportunités marché (appels d'offres, marchés publics dans la zone), mouvements concurrence. Pousse une alerte uniquement si la pertinence dépasse un seuil calculé par l'Observateur. Objectif : ne jamais devenir du bruit.</w:t>
      </w:r>
    </w:p>
    <w:p>
      <w:pPr>
        <w:pStyle w:val="Heading3"/>
        <w:spacing w:after="120" w:before="200"/>
      </w:pPr>
      <w:r>
        <w:rPr>
          <w:b/>
          <w:bCs/>
          <w:color w:val="D4A574"/>
          <w:sz w:val="24"/>
          <w:szCs w:val="24"/>
        </w:rPr>
        <w:t xml:space="preserve">10. Critique</w:t>
      </w:r>
    </w:p>
    <w:p>
      <w:pPr>
        <w:spacing w:after="120" w:line="320"/>
        <w:jc w:val="both"/>
      </w:pPr>
      <w:r>
        <w:rPr>
          <w:color w:val="2B2B2B"/>
          <w:sz w:val="22"/>
          <w:szCs w:val="22"/>
        </w:rPr>
        <w:t xml:space="preserve">Joue l'avocat du diable. Déclenché automatiquement sur toute décision dépasséant un seuil (montant, irreversibilité, impact RH). Sa mission : trouver les trois meilleures raisons pour lesquelles l'utilisateur ne devrait pas faire ce qu'il s'apprête à faire. Inspiré du Contrarian du protocole Kostia2 — ton sec, factuel, sans complaisance. C'est l'agent qui sauve les utilisateurs des erreurs stratégiques.</w:t>
      </w:r>
    </w:p>
    <w:p>
      <w:r>
        <w:br w:type="page"/>
      </w:r>
    </w:p>
    <w:p>
      <w:pPr>
        <w:pStyle w:val="Heading1"/>
        <w:spacing w:after="200" w:before="360"/>
      </w:pPr>
      <w:r>
        <w:rPr>
          <w:b/>
          <w:bCs/>
          <w:color w:val="1F2A44"/>
          <w:sz w:val="36"/>
          <w:szCs w:val="36"/>
        </w:rPr>
        <w:t xml:space="preserve">Détection des profils humains</w:t>
      </w:r>
    </w:p>
    <w:p>
      <w:pPr>
        <w:spacing w:after="120" w:line="320"/>
        <w:jc w:val="both"/>
      </w:pPr>
      <w:r>
        <w:rPr>
          <w:color w:val="2B2B2B"/>
          <w:sz w:val="22"/>
          <w:szCs w:val="22"/>
        </w:rPr>
        <w:t xml:space="preserve">Le troisième pilier de Council 10 est la capacité à reconnaître les différents types d'humains et à adapter son fonctionnement. Ce point est stratégique — c'est ce qui transforme une appli IA « généraliste » en compagnon réellement personnel.</w:t>
      </w:r>
    </w:p>
    <w:p>
      <w:pPr>
        <w:spacing w:after="120" w:line="320"/>
        <w:jc w:val="both"/>
      </w:pPr>
      <w:r>
        <w:rPr>
          <w:color w:val="2B2B2B"/>
          <w:sz w:val="22"/>
          <w:szCs w:val="22"/>
        </w:rPr>
        <w:t xml:space="preserve">Quatre niveaux de détection s'empilent. Chacun renforce les autres.</w:t>
      </w:r>
    </w:p>
    <w:p>
      <w:pPr>
        <w:pStyle w:val="Heading2"/>
        <w:spacing w:after="160" w:before="280"/>
      </w:pPr>
      <w:r>
        <w:rPr>
          <w:b/>
          <w:bCs/>
          <w:color w:val="1F2A44"/>
          <w:sz w:val="28"/>
          <w:szCs w:val="28"/>
        </w:rPr>
        <w:t xml:space="preserve">Niveau 1 — Profil déclaratif (onboarding)</w:t>
      </w:r>
    </w:p>
    <w:p>
      <w:pPr>
        <w:spacing w:after="120" w:line="320"/>
        <w:jc w:val="both"/>
      </w:pPr>
      <w:r>
        <w:rPr>
          <w:color w:val="2B2B2B"/>
          <w:sz w:val="22"/>
          <w:szCs w:val="22"/>
        </w:rPr>
        <w:t xml:space="preserve">Sept questions au lancement, durée totale 3–4 minutes. Objectif : démarrer l'application avec un profil de première approximation, suffisant pour que la première semaine d'usage soit déjà personnalisée.</w:t>
      </w:r>
    </w:p>
    <w:p>
      <w:pPr>
        <w:pStyle w:val="ListParagraph"/>
        <w:numPr>
          <w:ilvl w:val="0"/>
          <w:numId w:val="2"/>
        </w:numPr>
        <w:spacing w:after="80" w:line="300"/>
      </w:pPr>
      <w:r>
        <w:rPr>
          <w:b/>
          <w:bCs/>
          <w:color w:val="1F2A44"/>
          <w:sz w:val="22"/>
          <w:szCs w:val="22"/>
        </w:rPr>
        <w:t xml:space="preserve">Question 1. </w:t>
      </w:r>
      <w:r>
        <w:rPr>
          <w:color w:val="2B2B2B"/>
          <w:sz w:val="22"/>
          <w:szCs w:val="22"/>
        </w:rPr>
        <w:t xml:space="preserve"> Secteur d'activité + sous-segment (BTP &gt; plomberie/chauffage/clim, par exemple).</w:t>
      </w:r>
    </w:p>
    <w:p>
      <w:pPr>
        <w:pStyle w:val="ListParagraph"/>
        <w:numPr>
          <w:ilvl w:val="0"/>
          <w:numId w:val="2"/>
        </w:numPr>
        <w:spacing w:after="80" w:line="300"/>
      </w:pPr>
      <w:r>
        <w:rPr>
          <w:b/>
          <w:bCs/>
          <w:color w:val="1F2A44"/>
          <w:sz w:val="22"/>
          <w:szCs w:val="22"/>
        </w:rPr>
        <w:t xml:space="preserve">Question 2. </w:t>
      </w:r>
      <w:r>
        <w:rPr>
          <w:color w:val="2B2B2B"/>
          <w:sz w:val="22"/>
          <w:szCs w:val="22"/>
        </w:rPr>
        <w:t xml:space="preserve"> Stade de croissance (création, stable, croissance rapide, transmission, restructuration).</w:t>
      </w:r>
    </w:p>
    <w:p>
      <w:pPr>
        <w:pStyle w:val="ListParagraph"/>
        <w:numPr>
          <w:ilvl w:val="0"/>
          <w:numId w:val="2"/>
        </w:numPr>
        <w:spacing w:after="80" w:line="300"/>
      </w:pPr>
      <w:r>
        <w:rPr>
          <w:b/>
          <w:bCs/>
          <w:color w:val="1F2A44"/>
          <w:sz w:val="22"/>
          <w:szCs w:val="22"/>
        </w:rPr>
        <w:t xml:space="preserve">Question 3. </w:t>
      </w:r>
      <w:r>
        <w:rPr>
          <w:color w:val="2B2B2B"/>
          <w:sz w:val="22"/>
          <w:szCs w:val="22"/>
        </w:rPr>
        <w:t xml:space="preserve"> Taille équipe et chiffre d'affaires.</w:t>
      </w:r>
    </w:p>
    <w:p>
      <w:pPr>
        <w:pStyle w:val="ListParagraph"/>
        <w:numPr>
          <w:ilvl w:val="0"/>
          <w:numId w:val="2"/>
        </w:numPr>
        <w:spacing w:after="80" w:line="300"/>
      </w:pPr>
      <w:r>
        <w:rPr>
          <w:b/>
          <w:bCs/>
          <w:color w:val="1F2A44"/>
          <w:sz w:val="22"/>
          <w:szCs w:val="22"/>
        </w:rPr>
        <w:t xml:space="preserve">Question 4. </w:t>
      </w:r>
      <w:r>
        <w:rPr>
          <w:color w:val="2B2B2B"/>
          <w:sz w:val="22"/>
          <w:szCs w:val="22"/>
        </w:rPr>
        <w:t xml:space="preserve"> Style décisionnel préféré (rapide intuitif vs lent analytique, sur échelle 1–10).</w:t>
      </w:r>
    </w:p>
    <w:p>
      <w:pPr>
        <w:pStyle w:val="ListParagraph"/>
        <w:numPr>
          <w:ilvl w:val="0"/>
          <w:numId w:val="2"/>
        </w:numPr>
        <w:spacing w:after="80" w:line="300"/>
      </w:pPr>
      <w:r>
        <w:rPr>
          <w:b/>
          <w:bCs/>
          <w:color w:val="1F2A44"/>
          <w:sz w:val="22"/>
          <w:szCs w:val="22"/>
        </w:rPr>
        <w:t xml:space="preserve">Question 5. </w:t>
      </w:r>
      <w:r>
        <w:rPr>
          <w:color w:val="2B2B2B"/>
          <w:sz w:val="22"/>
          <w:szCs w:val="22"/>
        </w:rPr>
        <w:t xml:space="preserve"> Tolérance au risque (sur échelle 1–10 avec exemples concrets).</w:t>
      </w:r>
    </w:p>
    <w:p>
      <w:pPr>
        <w:pStyle w:val="ListParagraph"/>
        <w:numPr>
          <w:ilvl w:val="0"/>
          <w:numId w:val="2"/>
        </w:numPr>
        <w:spacing w:after="80" w:line="300"/>
      </w:pPr>
      <w:r>
        <w:rPr>
          <w:b/>
          <w:bCs/>
          <w:color w:val="1F2A44"/>
          <w:sz w:val="22"/>
          <w:szCs w:val="22"/>
        </w:rPr>
        <w:t xml:space="preserve">Question 6. </w:t>
      </w:r>
      <w:r>
        <w:rPr>
          <w:color w:val="2B2B2B"/>
          <w:sz w:val="22"/>
          <w:szCs w:val="22"/>
        </w:rPr>
        <w:t xml:space="preserve"> Trois objectifs prioritaires des 12 prochains mois.</w:t>
      </w:r>
    </w:p>
    <w:p>
      <w:pPr>
        <w:pStyle w:val="ListParagraph"/>
        <w:numPr>
          <w:ilvl w:val="0"/>
          <w:numId w:val="2"/>
        </w:numPr>
        <w:spacing w:after="80" w:line="300"/>
      </w:pPr>
      <w:r>
        <w:rPr>
          <w:b/>
          <w:bCs/>
          <w:color w:val="1F2A44"/>
          <w:sz w:val="22"/>
          <w:szCs w:val="22"/>
        </w:rPr>
        <w:t xml:space="preserve">Question 7. </w:t>
      </w:r>
      <w:r>
        <w:rPr>
          <w:color w:val="2B2B2B"/>
          <w:sz w:val="22"/>
          <w:szCs w:val="22"/>
        </w:rPr>
        <w:t xml:space="preserve"> Préférences communication (direct/diplomate, court/détaillé, jargon/vulgarisé).</w:t>
      </w:r>
    </w:p>
    <w:p>
      <w:pPr>
        <w:pStyle w:val="Heading2"/>
        <w:spacing w:after="160" w:before="280"/>
      </w:pPr>
      <w:r>
        <w:rPr>
          <w:b/>
          <w:bCs/>
          <w:color w:val="1F2A44"/>
          <w:sz w:val="28"/>
          <w:szCs w:val="28"/>
        </w:rPr>
        <w:t xml:space="preserve">Niveau 2 — Psychométrie légère (jours 7–14)</w:t>
      </w:r>
    </w:p>
    <w:p>
      <w:pPr>
        <w:spacing w:after="120" w:line="320"/>
        <w:jc w:val="both"/>
      </w:pPr>
      <w:r>
        <w:rPr>
          <w:color w:val="2B2B2B"/>
          <w:sz w:val="22"/>
          <w:szCs w:val="22"/>
        </w:rPr>
        <w:t xml:space="preserve">Après une première semaine d'usage, l'application propose un mini-test optionnel de 10–12 questions, restitué sous forme d'un rapport personnalisé (ce qui en fait un moment d'engagement, pas une corvée). Trois modèles superposés sont mobilisés.</w:t>
      </w:r>
    </w:p>
    <w:p>
      <w:pPr>
        <w:pStyle w:val="ListParagraph"/>
        <w:numPr>
          <w:ilvl w:val="0"/>
          <w:numId w:val="2"/>
        </w:numPr>
        <w:spacing w:after="80" w:line="300"/>
      </w:pPr>
      <w:r>
        <w:rPr>
          <w:b/>
          <w:bCs/>
          <w:color w:val="1F2A44"/>
          <w:sz w:val="22"/>
          <w:szCs w:val="22"/>
        </w:rPr>
        <w:t xml:space="preserve">Big Five (OCEAN) condensé. </w:t>
      </w:r>
      <w:r>
        <w:rPr>
          <w:color w:val="2B2B2B"/>
          <w:sz w:val="22"/>
          <w:szCs w:val="22"/>
        </w:rPr>
        <w:t xml:space="preserve"> Ouverture, conscience, extraversion, agreabilité, stabilité émotionnelle. Score sur cinq axes. C'est la grille la plus validée scientifiquement, et elle se traduit directement en préférences de communication.</w:t>
      </w:r>
    </w:p>
    <w:p>
      <w:pPr>
        <w:pStyle w:val="ListParagraph"/>
        <w:numPr>
          <w:ilvl w:val="0"/>
          <w:numId w:val="2"/>
        </w:numPr>
        <w:spacing w:after="80" w:line="300"/>
      </w:pPr>
      <w:r>
        <w:rPr>
          <w:b/>
          <w:bCs/>
          <w:color w:val="1F2A44"/>
          <w:sz w:val="22"/>
          <w:szCs w:val="22"/>
        </w:rPr>
        <w:t xml:space="preserve">Archetypes Gerber (entrepreneur). </w:t>
      </w:r>
      <w:r>
        <w:rPr>
          <w:color w:val="2B2B2B"/>
          <w:sz w:val="22"/>
          <w:szCs w:val="22"/>
        </w:rPr>
        <w:t xml:space="preserve"> Visionnaire, opérateur, technicien. Question critique pour l'entrepreneur. Un visionnaire a besoin d'un agent Coach Personnel ferme. Un technicien a besoin d'un Productivité actif.</w:t>
      </w:r>
    </w:p>
    <w:p>
      <w:pPr>
        <w:pStyle w:val="ListParagraph"/>
        <w:numPr>
          <w:ilvl w:val="0"/>
          <w:numId w:val="2"/>
        </w:numPr>
        <w:spacing w:after="80" w:line="300"/>
      </w:pPr>
      <w:r>
        <w:rPr>
          <w:b/>
          <w:bCs/>
          <w:color w:val="1F2A44"/>
          <w:sz w:val="22"/>
          <w:szCs w:val="22"/>
        </w:rPr>
        <w:t xml:space="preserve">DISC simplifié. </w:t>
      </w:r>
      <w:r>
        <w:rPr>
          <w:color w:val="2B2B2B"/>
          <w:sz w:val="22"/>
          <w:szCs w:val="22"/>
        </w:rPr>
        <w:t xml:space="preserve"> Dominant, influent, stable, consciencieux. Sert à calibrer le ton (direct vs chaleureux, factuel vs récit).</w:t>
      </w:r>
    </w:p>
    <w:p>
      <w:pPr>
        <w:spacing w:after="120" w:line="320"/>
        <w:jc w:val="both"/>
      </w:pPr>
      <w:r>
        <w:rPr>
          <w:color w:val="2B2B2B"/>
          <w:sz w:val="22"/>
          <w:szCs w:val="22"/>
        </w:rPr>
        <w:t xml:space="preserve">Le test est systématiquement positionné comme un outil de connaissance de soi, pas comme un échantillonnage. Le rapport restitué à l'utilisateur est écrit avec soin, sourcé, prudent dans ses conclusions — crédibilité et engagement utilisateur dépendent de cette qualité.</w:t>
      </w:r>
    </w:p>
    <w:p>
      <w:pPr>
        <w:pStyle w:val="Heading2"/>
        <w:spacing w:after="160" w:before="280"/>
      </w:pPr>
      <w:r>
        <w:rPr>
          <w:b/>
          <w:bCs/>
          <w:color w:val="1F2A44"/>
          <w:sz w:val="28"/>
          <w:szCs w:val="28"/>
        </w:rPr>
        <w:t xml:space="preserve">Niveau 3 — Apprentissage comportemental</w:t>
      </w:r>
    </w:p>
    <w:p>
      <w:pPr>
        <w:spacing w:after="120" w:line="320"/>
        <w:jc w:val="both"/>
      </w:pPr>
      <w:r>
        <w:rPr>
          <w:color w:val="2B2B2B"/>
          <w:sz w:val="22"/>
          <w:szCs w:val="22"/>
        </w:rPr>
        <w:t xml:space="preserve">Le mode opératoire le plus puissant et le plus discret. L'Observateur scanne en permanence cinq dimensions et les met à jour.</w:t>
      </w:r>
    </w:p>
    <w:p>
      <w:pPr>
        <w:pStyle w:val="ListParagraph"/>
        <w:numPr>
          <w:ilvl w:val="0"/>
          <w:numId w:val="2"/>
        </w:numPr>
        <w:spacing w:after="80" w:line="300"/>
      </w:pPr>
      <w:r>
        <w:rPr>
          <w:b/>
          <w:bCs/>
          <w:color w:val="1F2A44"/>
          <w:sz w:val="22"/>
          <w:szCs w:val="22"/>
        </w:rPr>
        <w:t xml:space="preserve">Rythme. </w:t>
      </w:r>
      <w:r>
        <w:rPr>
          <w:color w:val="2B2B2B"/>
          <w:sz w:val="22"/>
          <w:szCs w:val="22"/>
        </w:rPr>
        <w:t xml:space="preserve"> Heures de connexion (matinal/diurne/nocturne), fréquence (quotidien dense vs sporadique), longueur moyenne des sessions, durée de réflexion entre question et réponse.</w:t>
      </w:r>
    </w:p>
    <w:p>
      <w:pPr>
        <w:pStyle w:val="ListParagraph"/>
        <w:numPr>
          <w:ilvl w:val="0"/>
          <w:numId w:val="2"/>
        </w:numPr>
        <w:spacing w:after="80" w:line="300"/>
      </w:pPr>
      <w:r>
        <w:rPr>
          <w:b/>
          <w:bCs/>
          <w:color w:val="1F2A44"/>
          <w:sz w:val="22"/>
          <w:szCs w:val="22"/>
        </w:rPr>
        <w:t xml:space="preserve">Langage. </w:t>
      </w:r>
      <w:r>
        <w:rPr>
          <w:color w:val="2B2B2B"/>
          <w:sz w:val="22"/>
          <w:szCs w:val="22"/>
        </w:rPr>
        <w:t xml:space="preserve"> Longueur des messages, registre (formel/familier), présence de jargon métier, niveau syntaxique, vocabulaire émotionnel, sentiment moyen.</w:t>
      </w:r>
    </w:p>
    <w:p>
      <w:pPr>
        <w:pStyle w:val="ListParagraph"/>
        <w:numPr>
          <w:ilvl w:val="0"/>
          <w:numId w:val="2"/>
        </w:numPr>
        <w:spacing w:after="80" w:line="300"/>
      </w:pPr>
      <w:r>
        <w:rPr>
          <w:b/>
          <w:bCs/>
          <w:color w:val="1F2A44"/>
          <w:sz w:val="22"/>
          <w:szCs w:val="22"/>
        </w:rPr>
        <w:t xml:space="preserve">Préférences agent. </w:t>
      </w:r>
      <w:r>
        <w:rPr>
          <w:color w:val="2B2B2B"/>
          <w:sz w:val="22"/>
          <w:szCs w:val="22"/>
        </w:rPr>
        <w:t xml:space="preserve"> Quels agents sont sollicités spontanément, lesquels sont évités. Un utilisateur qui ne sollicite jamais le Coach Personnel mais montre des signaux de surcharge a un blocage qu'il faut respecter mais traiter avec délicatesse.</w:t>
      </w:r>
    </w:p>
    <w:p>
      <w:pPr>
        <w:pStyle w:val="ListParagraph"/>
        <w:numPr>
          <w:ilvl w:val="0"/>
          <w:numId w:val="2"/>
        </w:numPr>
        <w:spacing w:after="80" w:line="300"/>
      </w:pPr>
      <w:r>
        <w:rPr>
          <w:b/>
          <w:bCs/>
          <w:color w:val="1F2A44"/>
          <w:sz w:val="22"/>
          <w:szCs w:val="22"/>
        </w:rPr>
        <w:t xml:space="preserve">Acceptation des conseils. </w:t>
      </w:r>
      <w:r>
        <w:rPr>
          <w:color w:val="2B2B2B"/>
          <w:sz w:val="22"/>
          <w:szCs w:val="22"/>
        </w:rPr>
        <w:t xml:space="preserve"> Taux d'application, taux de retour sur le sujet, modifications apportées par l'utilisateur. Mesure indirecte de l'utilité de chaque agent pour cet utilisateur spécifique.</w:t>
      </w:r>
    </w:p>
    <w:p>
      <w:pPr>
        <w:pStyle w:val="ListParagraph"/>
        <w:numPr>
          <w:ilvl w:val="0"/>
          <w:numId w:val="2"/>
        </w:numPr>
        <w:spacing w:after="80" w:line="300"/>
      </w:pPr>
      <w:r>
        <w:rPr>
          <w:b/>
          <w:bCs/>
          <w:color w:val="1F2A44"/>
          <w:sz w:val="22"/>
          <w:szCs w:val="22"/>
        </w:rPr>
        <w:t xml:space="preserve">Volatilité. </w:t>
      </w:r>
      <w:r>
        <w:rPr>
          <w:color w:val="2B2B2B"/>
          <w:sz w:val="22"/>
          <w:szCs w:val="22"/>
        </w:rPr>
        <w:t xml:space="preserve"> Variation de tous les indicateurs ci-dessus dans le temps. Un changement brutal de rythme ou de ton est un signal fort — déclenche éventuellement un check-in du Coach Personnel ou une question de l'Orchestrateur.</w:t>
      </w:r>
    </w:p>
    <w:p>
      <w:pPr>
        <w:pStyle w:val="Heading2"/>
        <w:spacing w:after="160" w:before="280"/>
      </w:pPr>
      <w:r>
        <w:rPr>
          <w:b/>
          <w:bCs/>
          <w:color w:val="1F2A44"/>
          <w:sz w:val="28"/>
          <w:szCs w:val="28"/>
        </w:rPr>
        <w:t xml:space="preserve">Niveau 4 — Détection des profils atypiques</w:t>
      </w:r>
    </w:p>
    <w:p>
      <w:pPr>
        <w:spacing w:after="120" w:line="320"/>
        <w:jc w:val="both"/>
      </w:pPr>
      <w:r>
        <w:rPr>
          <w:color w:val="2B2B2B"/>
          <w:sz w:val="22"/>
          <w:szCs w:val="22"/>
        </w:rPr>
        <w:t xml:space="preserve">Une partie significative des entrepreneurs présentent des profils « différents » — haut potentiel intellectuel ou émotionnel, neuroatypiques (TDAH, autisme léger, dyslexie), profils visionnaires multi-projet, profils ultra-rapides intolerants à la routine. Les outils standards leur sont mal adaptés. Council 10 doit les reconnaître et adapter.</w:t>
      </w:r>
    </w:p>
    <w:p>
      <w:pPr>
        <w:spacing w:after="120" w:line="320"/>
        <w:jc w:val="both"/>
      </w:pPr>
      <w:r>
        <w:rPr>
          <w:color w:val="2B2B2B"/>
          <w:sz w:val="22"/>
          <w:szCs w:val="22"/>
        </w:rPr>
        <w:t xml:space="preserve">Cette détection est ethiquement sensible. Council 10 ne pose jamais de diagnostic. L'application identifie un cluster de signaux et adapte son fonctionnement — sans communiquer de « étiquette » à l'utilisateur, sauf demande explicite.</w:t>
      </w:r>
    </w:p>
    <w:p>
      <w:pPr>
        <w:spacing w:after="120" w:line="320"/>
        <w:jc w:val="both"/>
      </w:pPr>
      <w:r>
        <w:rPr>
          <w:color w:val="2B2B2B"/>
          <w:sz w:val="22"/>
          <w:szCs w:val="22"/>
        </w:rPr>
        <w:t xml:space="preserve">Six clusters de signaux déclenchent une adaptation.</w:t>
      </w:r>
    </w:p>
    <w:p>
      <w:pPr>
        <w:pStyle w:val="ListParagraph"/>
        <w:numPr>
          <w:ilvl w:val="0"/>
          <w:numId w:val="2"/>
        </w:numPr>
        <w:spacing w:after="80" w:line="300"/>
      </w:pPr>
      <w:r>
        <w:rPr>
          <w:b/>
          <w:bCs/>
          <w:color w:val="1F2A44"/>
          <w:sz w:val="22"/>
          <w:szCs w:val="22"/>
        </w:rPr>
        <w:t xml:space="preserve">Profil multi-projet rapide. </w:t>
      </w:r>
      <w:r>
        <w:rPr>
          <w:color w:val="2B2B2B"/>
          <w:sz w:val="22"/>
          <w:szCs w:val="22"/>
        </w:rPr>
        <w:t xml:space="preserve"> Sauts thématiques fréquents dans les conversations, multiples projets ouverts simultanément, intoleréance à la répétition. Adaptation : style ultra-condensé, listes plutôt que prose, moins de pedagogie, plus de stratégique pur.</w:t>
      </w:r>
    </w:p>
    <w:p>
      <w:pPr>
        <w:pStyle w:val="ListParagraph"/>
        <w:numPr>
          <w:ilvl w:val="0"/>
          <w:numId w:val="2"/>
        </w:numPr>
        <w:spacing w:after="80" w:line="300"/>
      </w:pPr>
      <w:r>
        <w:rPr>
          <w:b/>
          <w:bCs/>
          <w:color w:val="1F2A44"/>
          <w:sz w:val="22"/>
          <w:szCs w:val="22"/>
        </w:rPr>
        <w:t xml:space="preserve">Profil hyper-analytique. </w:t>
      </w:r>
      <w:r>
        <w:rPr>
          <w:color w:val="2B2B2B"/>
          <w:sz w:val="22"/>
          <w:szCs w:val="22"/>
        </w:rPr>
        <w:t xml:space="preserve"> Messages longs, demande de sources, questions sur la méthodologie, préférence pour des analyses chiffrées. Adaptation : sources citées systématiquement, méthodologie exposée, données brutes accessibles, peu de généralisations.</w:t>
      </w:r>
    </w:p>
    <w:p>
      <w:pPr>
        <w:pStyle w:val="ListParagraph"/>
        <w:numPr>
          <w:ilvl w:val="0"/>
          <w:numId w:val="2"/>
        </w:numPr>
        <w:spacing w:after="80" w:line="300"/>
      </w:pPr>
      <w:r>
        <w:rPr>
          <w:b/>
          <w:bCs/>
          <w:color w:val="1F2A44"/>
          <w:sz w:val="22"/>
          <w:szCs w:val="22"/>
        </w:rPr>
        <w:t xml:space="preserve">Profil intuitif. </w:t>
      </w:r>
      <w:r>
        <w:rPr>
          <w:color w:val="2B2B2B"/>
          <w:sz w:val="22"/>
          <w:szCs w:val="22"/>
        </w:rPr>
        <w:t xml:space="preserve"> Messages courts, langue de la conviction, peu de demande de justification. Adaptation : recommandations tranchées, peu de nuances, exemples plutôt que statistiques.</w:t>
      </w:r>
    </w:p>
    <w:p>
      <w:pPr>
        <w:pStyle w:val="ListParagraph"/>
        <w:numPr>
          <w:ilvl w:val="0"/>
          <w:numId w:val="2"/>
        </w:numPr>
        <w:spacing w:after="80" w:line="300"/>
      </w:pPr>
      <w:r>
        <w:rPr>
          <w:b/>
          <w:bCs/>
          <w:color w:val="1F2A44"/>
          <w:sz w:val="22"/>
          <w:szCs w:val="22"/>
        </w:rPr>
        <w:t xml:space="preserve">Profil hyper-stressé. </w:t>
      </w:r>
      <w:r>
        <w:rPr>
          <w:color w:val="2B2B2B"/>
          <w:sz w:val="22"/>
          <w:szCs w:val="22"/>
        </w:rPr>
        <w:t xml:space="preserve"> Vocabulaire d'urgence récurrent, heures tardives, longueur des messages érratique. Adaptation : ralentissement actif (« on répond pas tout de suite, je vous propose de structurer »), implication du Coach Personnel, brief raccourci à l'essentiel.</w:t>
      </w:r>
    </w:p>
    <w:p>
      <w:pPr>
        <w:pStyle w:val="ListParagraph"/>
        <w:numPr>
          <w:ilvl w:val="0"/>
          <w:numId w:val="2"/>
        </w:numPr>
        <w:spacing w:after="80" w:line="300"/>
      </w:pPr>
      <w:r>
        <w:rPr>
          <w:b/>
          <w:bCs/>
          <w:color w:val="1F2A44"/>
          <w:sz w:val="22"/>
          <w:szCs w:val="22"/>
        </w:rPr>
        <w:t xml:space="preserve">Profil novice. </w:t>
      </w:r>
      <w:r>
        <w:rPr>
          <w:color w:val="2B2B2B"/>
          <w:sz w:val="22"/>
          <w:szCs w:val="22"/>
        </w:rPr>
        <w:t xml:space="preserve"> Vocabulaire métier limité, questions « simples », demande répétée d'explications. Adaptation : pedagogie active, jargon explicité systématiquement, encouragement, rythme ralenti.</w:t>
      </w:r>
    </w:p>
    <w:p>
      <w:pPr>
        <w:pStyle w:val="ListParagraph"/>
        <w:numPr>
          <w:ilvl w:val="0"/>
          <w:numId w:val="2"/>
        </w:numPr>
        <w:spacing w:after="80" w:line="300"/>
      </w:pPr>
      <w:r>
        <w:rPr>
          <w:b/>
          <w:bCs/>
          <w:color w:val="1F2A44"/>
          <w:sz w:val="22"/>
          <w:szCs w:val="22"/>
        </w:rPr>
        <w:t xml:space="preserve">Profil expert. </w:t>
      </w:r>
      <w:r>
        <w:rPr>
          <w:color w:val="2B2B2B"/>
          <w:sz w:val="22"/>
          <w:szCs w:val="22"/>
        </w:rPr>
        <w:t xml:space="preserve"> Vocabulaire métier dense, fait des références pointues, attend du sparring. Adaptation : dialogue d'égal à égal, ouvertures vers des perspectives non triviales, pas de pedagogie inutile, Critique plus mordant.</w:t>
      </w:r>
    </w:p>
    <w:p>
      <w:pPr>
        <w:spacing w:after="120" w:line="320"/>
        <w:jc w:val="both"/>
      </w:pPr>
      <w:r>
        <w:rPr>
          <w:color w:val="2B2B2B"/>
          <w:sz w:val="22"/>
          <w:szCs w:val="22"/>
        </w:rPr>
        <w:t xml:space="preserve">Chaque cluster module trois variables dans la réponse : ton (degré de directe), densité (concis vs developpé), structure (liste vs prose vs schéma). L'application change réellement son fonctionnement, pas seulement son habillage.</w:t>
      </w:r>
    </w:p>
    <w:p>
      <w:r>
        <w:br w:type="page"/>
      </w:r>
    </w:p>
    <w:p>
      <w:pPr>
        <w:pStyle w:val="Heading1"/>
        <w:spacing w:after="200" w:before="360"/>
      </w:pPr>
      <w:r>
        <w:rPr>
          <w:b/>
          <w:bCs/>
          <w:color w:val="1F2A44"/>
          <w:sz w:val="36"/>
          <w:szCs w:val="36"/>
        </w:rPr>
        <w:t xml:space="preserve">Boucle d'habitude — le modèle TikTok inversé</w:t>
      </w:r>
    </w:p>
    <w:p>
      <w:pPr>
        <w:spacing w:after="120" w:line="320"/>
        <w:jc w:val="both"/>
      </w:pPr>
      <w:r>
        <w:rPr>
          <w:color w:val="2B2B2B"/>
          <w:sz w:val="22"/>
          <w:szCs w:val="22"/>
        </w:rPr>
        <w:t xml:space="preserve">L'engagement est le problème principal des outils de productivité. La majorité des applications business ont un usage qui s'effondre après 30 jours. Council 10 doit être conçu dès le premier jour pour créer une habitude réelle, mesurable, éthique.</w:t>
      </w:r>
    </w:p>
    <w:p>
      <w:pPr>
        <w:pStyle w:val="Heading2"/>
        <w:spacing w:after="160" w:before="280"/>
      </w:pPr>
      <w:r>
        <w:rPr>
          <w:b/>
          <w:bCs/>
          <w:color w:val="1F2A44"/>
          <w:sz w:val="28"/>
          <w:szCs w:val="28"/>
        </w:rPr>
        <w:t xml:space="preserve">Le modèle Hooked inversé</w:t>
      </w:r>
    </w:p>
    <w:p>
      <w:pPr>
        <w:spacing w:after="120" w:line="320"/>
        <w:jc w:val="both"/>
      </w:pPr>
      <w:r>
        <w:rPr>
          <w:color w:val="2B2B2B"/>
          <w:sz w:val="22"/>
          <w:szCs w:val="22"/>
        </w:rPr>
        <w:t xml:space="preserve">Le modèle Nir Eyal (trigger → action → variable reward → investment) explique l'addictivité des réseaux sociaux. Council 10 utilise les mêmes leviers, mais avec une récompense d'utilité réelle.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3510"/>
        <w:gridCol w:w="3510"/>
      </w:tblGrid>
      <w:tr>
        <w:trPr>
          <w:tblHeader/>
        </w:trPr>
        <w:tc>
          <w:tcPr>
            <w:tcW w:type="dxa" w:w="2340"/>
            <w:tcBorders>
              <w:top w:val="single" w:color="6B7280" w:sz="6"/>
              <w:left w:val="single" w:color="6B7280" w:sz="6"/>
              <w:bottom w:val="single" w:color="6B7280" w:sz="6"/>
              <w:right w:val="single" w:color="6B7280" w:sz="6"/>
            </w:tcBorders>
            <w:shd w:fill="1F2A44" w:val="clear"/>
            <w:tcMar>
              <w:top w:type="dxa" w:w="100"/>
              <w:left w:type="dxa" w:w="140"/>
              <w:bottom w:type="dxa" w:w="100"/>
              <w:right w:type="dxa" w:w="140"/>
            </w:tcMar>
          </w:tcPr>
          <w:p>
            <w:pPr>
              <w:jc w:val="left"/>
            </w:pPr>
            <w:r>
              <w:rPr>
                <w:b/>
                <w:bCs/>
                <w:color w:val="FFFFFF"/>
                <w:sz w:val="20"/>
                <w:szCs w:val="20"/>
              </w:rPr>
              <w:t xml:space="preserve">Étape</w:t>
            </w:r>
          </w:p>
        </w:tc>
        <w:tc>
          <w:tcPr>
            <w:tcW w:type="dxa" w:w="3510"/>
            <w:tcBorders>
              <w:top w:val="single" w:color="6B7280" w:sz="6"/>
              <w:left w:val="single" w:color="6B7280" w:sz="6"/>
              <w:bottom w:val="single" w:color="6B7280" w:sz="6"/>
              <w:right w:val="single" w:color="6B7280" w:sz="6"/>
            </w:tcBorders>
            <w:shd w:fill="1F2A44" w:val="clear"/>
            <w:tcMar>
              <w:top w:type="dxa" w:w="100"/>
              <w:left w:type="dxa" w:w="140"/>
              <w:bottom w:type="dxa" w:w="100"/>
              <w:right w:type="dxa" w:w="140"/>
            </w:tcMar>
          </w:tcPr>
          <w:p>
            <w:pPr>
              <w:jc w:val="left"/>
            </w:pPr>
            <w:r>
              <w:rPr>
                <w:b/>
                <w:bCs/>
                <w:color w:val="FFFFFF"/>
                <w:sz w:val="20"/>
                <w:szCs w:val="20"/>
              </w:rPr>
              <w:t xml:space="preserve">TikTok</w:t>
            </w:r>
          </w:p>
        </w:tc>
        <w:tc>
          <w:tcPr>
            <w:tcW w:type="dxa" w:w="3510"/>
            <w:tcBorders>
              <w:top w:val="single" w:color="6B7280" w:sz="6"/>
              <w:left w:val="single" w:color="6B7280" w:sz="6"/>
              <w:bottom w:val="single" w:color="6B7280" w:sz="6"/>
              <w:right w:val="single" w:color="6B7280" w:sz="6"/>
            </w:tcBorders>
            <w:shd w:fill="1F2A44" w:val="clear"/>
            <w:tcMar>
              <w:top w:type="dxa" w:w="100"/>
              <w:left w:type="dxa" w:w="140"/>
              <w:bottom w:type="dxa" w:w="100"/>
              <w:right w:type="dxa" w:w="140"/>
            </w:tcMar>
          </w:tcPr>
          <w:p>
            <w:pPr>
              <w:jc w:val="left"/>
            </w:pPr>
            <w:r>
              <w:rPr>
                <w:b/>
                <w:bCs/>
                <w:color w:val="FFFFFF"/>
                <w:sz w:val="20"/>
                <w:szCs w:val="20"/>
              </w:rPr>
              <w:t xml:space="preserve">Council 10</w:t>
            </w:r>
          </w:p>
        </w:tc>
      </w:tr>
      <w:tr>
        <w:tc>
          <w:tcPr>
            <w:tcW w:type="dxa" w:w="2340"/>
            <w:tcBorders>
              <w:top w:val="single" w:color="6B7280" w:sz="6"/>
              <w:left w:val="single" w:color="6B7280" w:sz="6"/>
              <w:bottom w:val="single" w:color="6B7280" w:sz="6"/>
              <w:right w:val="single" w:color="6B7280" w:sz="6"/>
            </w:tcBorders>
            <w:shd w:fill="F5F1EB" w:val="clear"/>
            <w:tcMar>
              <w:top w:type="dxa" w:w="100"/>
              <w:left w:type="dxa" w:w="140"/>
              <w:bottom w:type="dxa" w:w="100"/>
              <w:right w:type="dxa" w:w="140"/>
            </w:tcMar>
          </w:tcPr>
          <w:p>
            <w:pPr>
              <w:jc w:val="left"/>
            </w:pPr>
            <w:r>
              <w:rPr>
                <w:b/>
                <w:bCs/>
                <w:color w:val="2B2B2B"/>
                <w:sz w:val="20"/>
                <w:szCs w:val="20"/>
              </w:rPr>
              <w:t xml:space="preserve">Trigger</w:t>
            </w:r>
          </w:p>
        </w:tc>
        <w:tc>
          <w:tcPr>
            <w:tcW w:type="dxa" w:w="351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Notification push, ennui dans la queue</w:t>
            </w:r>
          </w:p>
        </w:tc>
        <w:tc>
          <w:tcPr>
            <w:tcW w:type="dxa" w:w="351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Brief matinal 7h, alerte déclenchée par contexte (devis reçu, message client)</w:t>
            </w:r>
          </w:p>
        </w:tc>
      </w:tr>
      <w:tr>
        <w:tc>
          <w:tcPr>
            <w:tcW w:type="dxa" w:w="2340"/>
            <w:tcBorders>
              <w:top w:val="single" w:color="6B7280" w:sz="6"/>
              <w:left w:val="single" w:color="6B7280" w:sz="6"/>
              <w:bottom w:val="single" w:color="6B7280" w:sz="6"/>
              <w:right w:val="single" w:color="6B7280" w:sz="6"/>
            </w:tcBorders>
            <w:shd w:fill="F5F1EB" w:val="clear"/>
            <w:tcMar>
              <w:top w:type="dxa" w:w="100"/>
              <w:left w:type="dxa" w:w="140"/>
              <w:bottom w:type="dxa" w:w="100"/>
              <w:right w:type="dxa" w:w="140"/>
            </w:tcMar>
          </w:tcPr>
          <w:p>
            <w:pPr>
              <w:jc w:val="left"/>
            </w:pPr>
            <w:r>
              <w:rPr>
                <w:b/>
                <w:bCs/>
                <w:color w:val="2B2B2B"/>
                <w:sz w:val="20"/>
                <w:szCs w:val="20"/>
              </w:rPr>
              <w:t xml:space="preserve">Action</w:t>
            </w:r>
          </w:p>
        </w:tc>
        <w:tc>
          <w:tcPr>
            <w:tcW w:type="dxa" w:w="351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Ouvrir l'app, swiper</w:t>
            </w:r>
          </w:p>
        </w:tc>
        <w:tc>
          <w:tcPr>
            <w:tcW w:type="dxa" w:w="351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Ouvrir, lire le brief, poser une question, valider une décision</w:t>
            </w:r>
          </w:p>
        </w:tc>
      </w:tr>
      <w:tr>
        <w:tc>
          <w:tcPr>
            <w:tcW w:type="dxa" w:w="2340"/>
            <w:tcBorders>
              <w:top w:val="single" w:color="6B7280" w:sz="6"/>
              <w:left w:val="single" w:color="6B7280" w:sz="6"/>
              <w:bottom w:val="single" w:color="6B7280" w:sz="6"/>
              <w:right w:val="single" w:color="6B7280" w:sz="6"/>
            </w:tcBorders>
            <w:shd w:fill="F5F1EB" w:val="clear"/>
            <w:tcMar>
              <w:top w:type="dxa" w:w="100"/>
              <w:left w:type="dxa" w:w="140"/>
              <w:bottom w:type="dxa" w:w="100"/>
              <w:right w:type="dxa" w:w="140"/>
            </w:tcMar>
          </w:tcPr>
          <w:p>
            <w:pPr>
              <w:jc w:val="left"/>
            </w:pPr>
            <w:r>
              <w:rPr>
                <w:b/>
                <w:bCs/>
                <w:color w:val="2B2B2B"/>
                <w:sz w:val="20"/>
                <w:szCs w:val="20"/>
              </w:rPr>
              <w:t xml:space="preserve">Récompense variable</w:t>
            </w:r>
          </w:p>
        </w:tc>
        <w:tc>
          <w:tcPr>
            <w:tcW w:type="dxa" w:w="351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Vidéo drôle, info, nudité, dispute</w:t>
            </w:r>
          </w:p>
        </w:tc>
        <w:tc>
          <w:tcPr>
            <w:tcW w:type="dxa" w:w="351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Insight inattendu, opportunité détectée, validation tranchée</w:t>
            </w:r>
          </w:p>
        </w:tc>
      </w:tr>
      <w:tr>
        <w:tc>
          <w:tcPr>
            <w:tcW w:type="dxa" w:w="2340"/>
            <w:tcBorders>
              <w:top w:val="single" w:color="6B7280" w:sz="6"/>
              <w:left w:val="single" w:color="6B7280" w:sz="6"/>
              <w:bottom w:val="single" w:color="6B7280" w:sz="6"/>
              <w:right w:val="single" w:color="6B7280" w:sz="6"/>
            </w:tcBorders>
            <w:shd w:fill="F5F1EB" w:val="clear"/>
            <w:tcMar>
              <w:top w:type="dxa" w:w="100"/>
              <w:left w:type="dxa" w:w="140"/>
              <w:bottom w:type="dxa" w:w="100"/>
              <w:right w:type="dxa" w:w="140"/>
            </w:tcMar>
          </w:tcPr>
          <w:p>
            <w:pPr>
              <w:jc w:val="left"/>
            </w:pPr>
            <w:r>
              <w:rPr>
                <w:b/>
                <w:bCs/>
                <w:color w:val="2B2B2B"/>
                <w:sz w:val="20"/>
                <w:szCs w:val="20"/>
              </w:rPr>
              <w:t xml:space="preserve">Investissement</w:t>
            </w:r>
          </w:p>
        </w:tc>
        <w:tc>
          <w:tcPr>
            <w:tcW w:type="dxa" w:w="351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Like, commentaire, follow, contenu créé</w:t>
            </w:r>
          </w:p>
        </w:tc>
        <w:tc>
          <w:tcPr>
            <w:tcW w:type="dxa" w:w="351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Décision sauvegardée, résultat partagé, profil enrichi</w:t>
            </w:r>
          </w:p>
        </w:tc>
      </w:tr>
    </w:tbl>
    <w:p>
      <w:r>
        <w:rPr>
          <w:sz w:val="16"/>
          <w:szCs w:val="16"/>
        </w:rPr>
        <w:t xml:space="preserve"> </w:t>
      </w:r>
    </w:p>
    <w:p>
      <w:pPr>
        <w:pStyle w:val="Heading2"/>
        <w:spacing w:after="160" w:before="280"/>
      </w:pPr>
      <w:r>
        <w:rPr>
          <w:b/>
          <w:bCs/>
          <w:color w:val="1F2A44"/>
          <w:sz w:val="28"/>
          <w:szCs w:val="28"/>
        </w:rPr>
        <w:t xml:space="preserve">Le rituel matinal — pierre angulaire</w:t>
      </w:r>
    </w:p>
    <w:p>
      <w:pPr>
        <w:spacing w:after="120" w:line="320"/>
        <w:jc w:val="both"/>
      </w:pPr>
      <w:r>
        <w:rPr>
          <w:color w:val="2B2B2B"/>
          <w:sz w:val="22"/>
          <w:szCs w:val="22"/>
        </w:rPr>
        <w:t xml:space="preserve">À 7h chaque matin (heure ajustable), un brief PDF est généré et envoyé sur le bureau de l'utilisateur ou son téléphone. Le format est volontairement court — maximum une page.</w:t>
      </w:r>
    </w:p>
    <w:p>
      <w:pPr>
        <w:pStyle w:val="ListParagraph"/>
        <w:numPr>
          <w:ilvl w:val="0"/>
          <w:numId w:val="2"/>
        </w:numPr>
        <w:spacing w:after="80" w:line="300"/>
      </w:pPr>
      <w:r>
        <w:rPr>
          <w:b/>
          <w:bCs/>
          <w:color w:val="1F2A44"/>
          <w:sz w:val="22"/>
          <w:szCs w:val="22"/>
        </w:rPr>
        <w:t xml:space="preserve">Section 1 — le pouls (3 lignes). </w:t>
      </w:r>
      <w:r>
        <w:rPr>
          <w:color w:val="2B2B2B"/>
          <w:sz w:val="22"/>
          <w:szCs w:val="22"/>
        </w:rPr>
        <w:t xml:space="preserve"> État global de l'entreprise selon les agents, niveau d'énergie détecté, météo de la journée.</w:t>
      </w:r>
    </w:p>
    <w:p>
      <w:pPr>
        <w:pStyle w:val="ListParagraph"/>
        <w:numPr>
          <w:ilvl w:val="0"/>
          <w:numId w:val="2"/>
        </w:numPr>
        <w:spacing w:after="80" w:line="300"/>
      </w:pPr>
      <w:r>
        <w:rPr>
          <w:b/>
          <w:bCs/>
          <w:color w:val="1F2A44"/>
          <w:sz w:val="22"/>
          <w:szCs w:val="22"/>
        </w:rPr>
        <w:t xml:space="preserve">Section 2 — les trois priorités du jour. </w:t>
      </w:r>
      <w:r>
        <w:rPr>
          <w:color w:val="2B2B2B"/>
          <w:sz w:val="22"/>
          <w:szCs w:val="22"/>
        </w:rPr>
        <w:t xml:space="preserve"> Identifiées par le Productivité à partir du calendrier, de la mémoire des décisions en cours, et des échancéances.</w:t>
      </w:r>
    </w:p>
    <w:p>
      <w:pPr>
        <w:pStyle w:val="ListParagraph"/>
        <w:numPr>
          <w:ilvl w:val="0"/>
          <w:numId w:val="2"/>
        </w:numPr>
        <w:spacing w:after="80" w:line="300"/>
      </w:pPr>
      <w:r>
        <w:rPr>
          <w:b/>
          <w:bCs/>
          <w:color w:val="1F2A44"/>
          <w:sz w:val="22"/>
          <w:szCs w:val="22"/>
        </w:rPr>
        <w:t xml:space="preserve">Section 3 — l'insight du jour. </w:t>
      </w:r>
      <w:r>
        <w:rPr>
          <w:color w:val="2B2B2B"/>
          <w:sz w:val="22"/>
          <w:szCs w:val="22"/>
        </w:rPr>
        <w:t xml:space="preserve"> Une chose qui mérite votre attention : opportunité détectée par le Veilleur, alerte du Critique, suggestion du Coach Croissance. Une seule — c'est ce qui rend la récompense variable et donc addictive.</w:t>
      </w:r>
    </w:p>
    <w:p>
      <w:pPr>
        <w:pStyle w:val="ListParagraph"/>
        <w:numPr>
          <w:ilvl w:val="0"/>
          <w:numId w:val="2"/>
        </w:numPr>
        <w:spacing w:after="80" w:line="300"/>
      </w:pPr>
      <w:r>
        <w:rPr>
          <w:b/>
          <w:bCs/>
          <w:color w:val="1F2A44"/>
          <w:sz w:val="22"/>
          <w:szCs w:val="22"/>
        </w:rPr>
        <w:t xml:space="preserve">Section 4 — la décision suspendue. </w:t>
      </w:r>
      <w:r>
        <w:rPr>
          <w:color w:val="2B2B2B"/>
          <w:sz w:val="22"/>
          <w:szCs w:val="22"/>
        </w:rPr>
        <w:t xml:space="preserve"> S'il y a une décision en attente depuis plus de 48h, rappel actif — « toujours pas tranché le devis Dupont. On en parle ? ».</w:t>
      </w:r>
    </w:p>
    <w:p>
      <w:pPr>
        <w:spacing w:after="120" w:line="320"/>
        <w:jc w:val="both"/>
      </w:pPr>
      <w:r>
        <w:rPr>
          <w:color w:val="2B2B2B"/>
          <w:sz w:val="22"/>
          <w:szCs w:val="22"/>
        </w:rPr>
        <w:t xml:space="preserve">Le brief n'est jamais identique. Il s'adapte au profil (rapide pour profils intuitifs, plus détaillé pour analytiques), au moment de la semaine (lundi différent du vendredi), aux périodes (haute saison BTP, périodes de bilan).</w:t>
      </w:r>
    </w:p>
    <w:p>
      <w:pPr>
        <w:pStyle w:val="Heading2"/>
        <w:spacing w:after="160" w:before="280"/>
      </w:pPr>
      <w:r>
        <w:rPr>
          <w:b/>
          <w:bCs/>
          <w:color w:val="1F2A44"/>
          <w:sz w:val="28"/>
          <w:szCs w:val="28"/>
        </w:rPr>
        <w:t xml:space="preserve">Les notifications contextuelles</w:t>
      </w:r>
    </w:p>
    <w:p>
      <w:pPr>
        <w:spacing w:after="120" w:line="320"/>
        <w:jc w:val="both"/>
      </w:pPr>
      <w:r>
        <w:rPr>
          <w:color w:val="2B2B2B"/>
          <w:sz w:val="22"/>
          <w:szCs w:val="22"/>
        </w:rPr>
        <w:t xml:space="preserve">La clé de l'engagement à long terme est la qualité des notifications. Council 10 ne fait jamais de push générique. Toute notification doit répondre à un déclencheur contextuel précis.</w:t>
      </w:r>
    </w:p>
    <w:p>
      <w:pPr>
        <w:pStyle w:val="ListParagraph"/>
        <w:numPr>
          <w:ilvl w:val="0"/>
          <w:numId w:val="2"/>
        </w:numPr>
        <w:spacing w:after="80" w:line="300"/>
      </w:pPr>
      <w:r>
        <w:rPr>
          <w:b/>
          <w:bCs/>
          <w:color w:val="1F2A44"/>
          <w:sz w:val="22"/>
          <w:szCs w:val="22"/>
        </w:rPr>
        <w:t xml:space="preserve">Trigger événementiel. </w:t>
      </w:r>
      <w:r>
        <w:rPr>
          <w:color w:val="2B2B2B"/>
          <w:sz w:val="22"/>
          <w:szCs w:val="22"/>
        </w:rPr>
        <w:t xml:space="preserve"> Un email d'un client important arrive → Council 10 propose de l'analyser. Un devis est en attente depuis trop longtemps → Stratège demande s'il faut relancer.</w:t>
      </w:r>
    </w:p>
    <w:p>
      <w:pPr>
        <w:pStyle w:val="ListParagraph"/>
        <w:numPr>
          <w:ilvl w:val="0"/>
          <w:numId w:val="2"/>
        </w:numPr>
        <w:spacing w:after="80" w:line="300"/>
      </w:pPr>
      <w:r>
        <w:rPr>
          <w:b/>
          <w:bCs/>
          <w:color w:val="1F2A44"/>
          <w:sz w:val="22"/>
          <w:szCs w:val="22"/>
        </w:rPr>
        <w:t xml:space="preserve">Trigger temporel. </w:t>
      </w:r>
      <w:r>
        <w:rPr>
          <w:color w:val="2B2B2B"/>
          <w:sz w:val="22"/>
          <w:szCs w:val="22"/>
        </w:rPr>
        <w:t xml:space="preserve"> Fin de mois → Financier propose le bilan rapide. Début de trimestre → Coach Croissance fait le point objectifs.</w:t>
      </w:r>
    </w:p>
    <w:p>
      <w:pPr>
        <w:pStyle w:val="ListParagraph"/>
        <w:numPr>
          <w:ilvl w:val="0"/>
          <w:numId w:val="2"/>
        </w:numPr>
        <w:spacing w:after="80" w:line="300"/>
      </w:pPr>
      <w:r>
        <w:rPr>
          <w:b/>
          <w:bCs/>
          <w:color w:val="1F2A44"/>
          <w:sz w:val="22"/>
          <w:szCs w:val="22"/>
        </w:rPr>
        <w:t xml:space="preserve">Trigger comportemental. </w:t>
      </w:r>
      <w:r>
        <w:rPr>
          <w:color w:val="2B2B2B"/>
          <w:sz w:val="22"/>
          <w:szCs w:val="22"/>
        </w:rPr>
        <w:t xml:space="preserve"> Trois jours sans connexion → message très soft de retour. Pic d'activité nocturne → Coach Personnel propose un check-in.</w:t>
      </w:r>
    </w:p>
    <w:p>
      <w:pPr>
        <w:spacing w:after="120" w:line="320"/>
        <w:jc w:val="both"/>
      </w:pPr>
      <w:r>
        <w:rPr>
          <w:color w:val="2B2B2B"/>
          <w:sz w:val="22"/>
          <w:szCs w:val="22"/>
        </w:rPr>
        <w:t xml:space="preserve">Le ratio cible : moins de 5 notifications/semaine en moyenne, mais 80 % débouchent sur une action. Précision plutôt que volume — c'est l'inverse exact de TikTok.</w:t>
      </w:r>
    </w:p>
    <w:p>
      <w:pPr>
        <w:pStyle w:val="Heading2"/>
        <w:spacing w:after="160" w:before="280"/>
      </w:pPr>
      <w:r>
        <w:rPr>
          <w:b/>
          <w:bCs/>
          <w:color w:val="1F2A44"/>
          <w:sz w:val="28"/>
          <w:szCs w:val="28"/>
        </w:rPr>
        <w:t xml:space="preserve">Les boucles d'investissement</w:t>
      </w:r>
    </w:p>
    <w:p>
      <w:pPr>
        <w:spacing w:after="120" w:line="320"/>
        <w:jc w:val="both"/>
      </w:pPr>
      <w:r>
        <w:rPr>
          <w:color w:val="2B2B2B"/>
          <w:sz w:val="22"/>
          <w:szCs w:val="22"/>
        </w:rPr>
        <w:t xml:space="preserve">Plus l'utilisateur investit dans l'application, plus elle devient précieuse pour lui. Council 10 crée cinq boucles d'investissement explicites.</w:t>
      </w:r>
    </w:p>
    <w:p>
      <w:pPr>
        <w:pStyle w:val="ListParagraph"/>
        <w:numPr>
          <w:ilvl w:val="0"/>
          <w:numId w:val="2"/>
        </w:numPr>
        <w:spacing w:after="80" w:line="300"/>
      </w:pPr>
      <w:r>
        <w:rPr>
          <w:color w:val="2B2B2B"/>
          <w:sz w:val="22"/>
          <w:szCs w:val="22"/>
        </w:rPr>
        <w:t xml:space="preserve">Sauvegarde des décisions — chaque arbitrage est conservé avec son contexte.</w:t>
      </w:r>
    </w:p>
    <w:p>
      <w:pPr>
        <w:pStyle w:val="ListParagraph"/>
        <w:numPr>
          <w:ilvl w:val="0"/>
          <w:numId w:val="2"/>
        </w:numPr>
        <w:spacing w:after="80" w:line="300"/>
      </w:pPr>
      <w:r>
        <w:rPr>
          <w:color w:val="2B2B2B"/>
          <w:sz w:val="22"/>
          <w:szCs w:val="22"/>
        </w:rPr>
        <w:t xml:space="preserve">Suivi des résultats — demandé 7 jours après, améliore les conseils futurs.</w:t>
      </w:r>
    </w:p>
    <w:p>
      <w:pPr>
        <w:pStyle w:val="ListParagraph"/>
        <w:numPr>
          <w:ilvl w:val="0"/>
          <w:numId w:val="2"/>
        </w:numPr>
        <w:spacing w:after="80" w:line="300"/>
      </w:pPr>
      <w:r>
        <w:rPr>
          <w:color w:val="2B2B2B"/>
          <w:sz w:val="22"/>
          <w:szCs w:val="22"/>
        </w:rPr>
        <w:t xml:space="preserve">Profil enrichi — chaque interaction affine la représentation de l'utilisateur.</w:t>
      </w:r>
    </w:p>
    <w:p>
      <w:pPr>
        <w:pStyle w:val="ListParagraph"/>
        <w:numPr>
          <w:ilvl w:val="0"/>
          <w:numId w:val="2"/>
        </w:numPr>
        <w:spacing w:after="80" w:line="300"/>
      </w:pPr>
      <w:r>
        <w:rPr>
          <w:color w:val="2B2B2B"/>
          <w:sz w:val="22"/>
          <w:szCs w:val="22"/>
        </w:rPr>
        <w:t xml:space="preserve">Streak — jours consécutifs avec lecture du brief matinal.</w:t>
      </w:r>
    </w:p>
    <w:p>
      <w:pPr>
        <w:pStyle w:val="ListParagraph"/>
        <w:numPr>
          <w:ilvl w:val="0"/>
          <w:numId w:val="2"/>
        </w:numPr>
        <w:spacing w:after="80" w:line="300"/>
      </w:pPr>
      <w:r>
        <w:rPr>
          <w:color w:val="2B2B2B"/>
          <w:sz w:val="22"/>
          <w:szCs w:val="22"/>
        </w:rPr>
        <w:t xml:space="preserve">Bilan trimestriel — rapport personnalisé montrant le chemin parcouru, les décisions clés, les patterns.</w:t>
      </w:r>
    </w:p>
    <w:p>
      <w:r>
        <w:br w:type="page"/>
      </w:r>
    </w:p>
    <w:p>
      <w:pPr>
        <w:pStyle w:val="Heading1"/>
        <w:spacing w:after="200" w:before="360"/>
      </w:pPr>
      <w:r>
        <w:rPr>
          <w:b/>
          <w:bCs/>
          <w:color w:val="1F2A44"/>
          <w:sz w:val="36"/>
          <w:szCs w:val="36"/>
        </w:rPr>
        <w:t xml:space="preserve">Modèle économique</w:t>
      </w:r>
    </w:p>
    <w:p>
      <w:pPr>
        <w:pStyle w:val="Heading2"/>
        <w:spacing w:after="160" w:before="280"/>
      </w:pPr>
      <w:r>
        <w:rPr>
          <w:b/>
          <w:bCs/>
          <w:color w:val="1F2A44"/>
          <w:sz w:val="28"/>
          <w:szCs w:val="28"/>
        </w:rPr>
        <w:t xml:space="preserve">Tarification</w:t>
      </w:r>
    </w:p>
    <w:p>
      <w:pPr>
        <w:spacing w:after="120" w:line="320"/>
        <w:jc w:val="both"/>
      </w:pPr>
      <w:r>
        <w:rPr>
          <w:color w:val="2B2B2B"/>
          <w:sz w:val="22"/>
          <w:szCs w:val="22"/>
        </w:rPr>
        <w:t xml:space="preserve">Modèle freemium avec trois paliers payants. Le palier gratuit est volontairement utile mais limité — il sert d'aimant et de démonstration, jamais de version dégradée frustrante.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72"/>
        <w:gridCol w:w="1872"/>
        <w:gridCol w:w="1872"/>
        <w:gridCol w:w="1872"/>
        <w:gridCol w:w="1872"/>
      </w:tblGrid>
      <w:tr>
        <w:trPr>
          <w:tblHeader/>
        </w:trPr>
        <w:tc>
          <w:tcPr>
            <w:tcW w:type="dxa" w:w="1872"/>
            <w:tcBorders>
              <w:top w:val="single" w:color="6B7280" w:sz="6"/>
              <w:left w:val="single" w:color="6B7280" w:sz="6"/>
              <w:bottom w:val="single" w:color="6B7280" w:sz="6"/>
              <w:right w:val="single" w:color="6B7280" w:sz="6"/>
            </w:tcBorders>
            <w:shd w:fill="1F2A44" w:val="clear"/>
            <w:tcMar>
              <w:top w:type="dxa" w:w="100"/>
              <w:left w:type="dxa" w:w="140"/>
              <w:bottom w:type="dxa" w:w="100"/>
              <w:right w:type="dxa" w:w="140"/>
            </w:tcMar>
          </w:tcPr>
          <w:p>
            <w:pPr>
              <w:jc w:val="left"/>
            </w:pPr>
            <w:r>
              <w:rPr>
                <w:b/>
                <w:bCs/>
                <w:color w:val="FFFFFF"/>
                <w:sz w:val="20"/>
                <w:szCs w:val="20"/>
              </w:rPr>
              <w:t xml:space="preserve">Palier</w:t>
            </w:r>
          </w:p>
        </w:tc>
        <w:tc>
          <w:tcPr>
            <w:tcW w:type="dxa" w:w="1872"/>
            <w:tcBorders>
              <w:top w:val="single" w:color="6B7280" w:sz="6"/>
              <w:left w:val="single" w:color="6B7280" w:sz="6"/>
              <w:bottom w:val="single" w:color="6B7280" w:sz="6"/>
              <w:right w:val="single" w:color="6B7280" w:sz="6"/>
            </w:tcBorders>
            <w:shd w:fill="1F2A44" w:val="clear"/>
            <w:tcMar>
              <w:top w:type="dxa" w:w="100"/>
              <w:left w:type="dxa" w:w="140"/>
              <w:bottom w:type="dxa" w:w="100"/>
              <w:right w:type="dxa" w:w="140"/>
            </w:tcMar>
          </w:tcPr>
          <w:p>
            <w:pPr>
              <w:jc w:val="left"/>
            </w:pPr>
            <w:r>
              <w:rPr>
                <w:b/>
                <w:bCs/>
                <w:color w:val="FFFFFF"/>
                <w:sz w:val="20"/>
                <w:szCs w:val="20"/>
              </w:rPr>
              <w:t xml:space="preserve">Prix/mois</w:t>
            </w:r>
          </w:p>
        </w:tc>
        <w:tc>
          <w:tcPr>
            <w:tcW w:type="dxa" w:w="1872"/>
            <w:tcBorders>
              <w:top w:val="single" w:color="6B7280" w:sz="6"/>
              <w:left w:val="single" w:color="6B7280" w:sz="6"/>
              <w:bottom w:val="single" w:color="6B7280" w:sz="6"/>
              <w:right w:val="single" w:color="6B7280" w:sz="6"/>
            </w:tcBorders>
            <w:shd w:fill="1F2A44" w:val="clear"/>
            <w:tcMar>
              <w:top w:type="dxa" w:w="100"/>
              <w:left w:type="dxa" w:w="140"/>
              <w:bottom w:type="dxa" w:w="100"/>
              <w:right w:type="dxa" w:w="140"/>
            </w:tcMar>
          </w:tcPr>
          <w:p>
            <w:pPr>
              <w:jc w:val="left"/>
            </w:pPr>
            <w:r>
              <w:rPr>
                <w:b/>
                <w:bCs/>
                <w:color w:val="FFFFFF"/>
                <w:sz w:val="20"/>
                <w:szCs w:val="20"/>
              </w:rPr>
              <w:t xml:space="preserve">Agents</w:t>
            </w:r>
          </w:p>
        </w:tc>
        <w:tc>
          <w:tcPr>
            <w:tcW w:type="dxa" w:w="1872"/>
            <w:tcBorders>
              <w:top w:val="single" w:color="6B7280" w:sz="6"/>
              <w:left w:val="single" w:color="6B7280" w:sz="6"/>
              <w:bottom w:val="single" w:color="6B7280" w:sz="6"/>
              <w:right w:val="single" w:color="6B7280" w:sz="6"/>
            </w:tcBorders>
            <w:shd w:fill="1F2A44" w:val="clear"/>
            <w:tcMar>
              <w:top w:type="dxa" w:w="100"/>
              <w:left w:type="dxa" w:w="140"/>
              <w:bottom w:type="dxa" w:w="100"/>
              <w:right w:type="dxa" w:w="140"/>
            </w:tcMar>
          </w:tcPr>
          <w:p>
            <w:pPr>
              <w:jc w:val="left"/>
            </w:pPr>
            <w:r>
              <w:rPr>
                <w:b/>
                <w:bCs/>
                <w:color w:val="FFFFFF"/>
                <w:sz w:val="20"/>
                <w:szCs w:val="20"/>
              </w:rPr>
              <w:t xml:space="preserve">Limites</w:t>
            </w:r>
          </w:p>
        </w:tc>
        <w:tc>
          <w:tcPr>
            <w:tcW w:type="dxa" w:w="1872"/>
            <w:tcBorders>
              <w:top w:val="single" w:color="6B7280" w:sz="6"/>
              <w:left w:val="single" w:color="6B7280" w:sz="6"/>
              <w:bottom w:val="single" w:color="6B7280" w:sz="6"/>
              <w:right w:val="single" w:color="6B7280" w:sz="6"/>
            </w:tcBorders>
            <w:shd w:fill="1F2A44" w:val="clear"/>
            <w:tcMar>
              <w:top w:type="dxa" w:w="100"/>
              <w:left w:type="dxa" w:w="140"/>
              <w:bottom w:type="dxa" w:w="100"/>
              <w:right w:type="dxa" w:w="140"/>
            </w:tcMar>
          </w:tcPr>
          <w:p>
            <w:pPr>
              <w:jc w:val="left"/>
            </w:pPr>
            <w:r>
              <w:rPr>
                <w:b/>
                <w:bCs/>
                <w:color w:val="FFFFFF"/>
                <w:sz w:val="20"/>
                <w:szCs w:val="20"/>
              </w:rPr>
              <w:t xml:space="preserve">Cible</w:t>
            </w:r>
          </w:p>
        </w:tc>
      </w:tr>
      <w:tr>
        <w:tc>
          <w:tcPr>
            <w:tcW w:type="dxa" w:w="1872"/>
            <w:tcBorders>
              <w:top w:val="single" w:color="6B7280" w:sz="6"/>
              <w:left w:val="single" w:color="6B7280" w:sz="6"/>
              <w:bottom w:val="single" w:color="6B7280" w:sz="6"/>
              <w:right w:val="single" w:color="6B7280" w:sz="6"/>
            </w:tcBorders>
            <w:shd w:fill="F5F1EB" w:val="clear"/>
            <w:tcMar>
              <w:top w:type="dxa" w:w="100"/>
              <w:left w:type="dxa" w:w="140"/>
              <w:bottom w:type="dxa" w:w="100"/>
              <w:right w:type="dxa" w:w="140"/>
            </w:tcMar>
          </w:tcPr>
          <w:p>
            <w:pPr>
              <w:jc w:val="left"/>
            </w:pPr>
            <w:r>
              <w:rPr>
                <w:b/>
                <w:bCs/>
                <w:color w:val="2B2B2B"/>
                <w:sz w:val="20"/>
                <w:szCs w:val="20"/>
              </w:rPr>
              <w:t xml:space="preserve">Découverte</w:t>
            </w:r>
          </w:p>
        </w:tc>
        <w:tc>
          <w:tcPr>
            <w:tcW w:type="dxa" w:w="1872"/>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bCs/>
                <w:color w:val="2D5F3F"/>
                <w:sz w:val="20"/>
                <w:szCs w:val="20"/>
              </w:rPr>
              <w:t xml:space="preserve">Gratuit</w:t>
            </w:r>
          </w:p>
        </w:tc>
        <w:tc>
          <w:tcPr>
            <w:tcW w:type="dxa" w:w="1872"/>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1 (Stratège)</w:t>
            </w:r>
          </w:p>
        </w:tc>
        <w:tc>
          <w:tcPr>
            <w:tcW w:type="dxa" w:w="1872"/>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3 questions/jour, brief simplifié</w:t>
            </w:r>
          </w:p>
        </w:tc>
        <w:tc>
          <w:tcPr>
            <w:tcW w:type="dxa" w:w="1872"/>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Test 7–30 jours</w:t>
            </w:r>
          </w:p>
        </w:tc>
      </w:tr>
      <w:tr>
        <w:tc>
          <w:tcPr>
            <w:tcW w:type="dxa" w:w="1872"/>
            <w:tcBorders>
              <w:top w:val="single" w:color="6B7280" w:sz="6"/>
              <w:left w:val="single" w:color="6B7280" w:sz="6"/>
              <w:bottom w:val="single" w:color="6B7280" w:sz="6"/>
              <w:right w:val="single" w:color="6B7280" w:sz="6"/>
            </w:tcBorders>
            <w:shd w:fill="F5F1EB" w:val="clear"/>
            <w:tcMar>
              <w:top w:type="dxa" w:w="100"/>
              <w:left w:type="dxa" w:w="140"/>
              <w:bottom w:type="dxa" w:w="100"/>
              <w:right w:type="dxa" w:w="140"/>
            </w:tcMar>
          </w:tcPr>
          <w:p>
            <w:pPr>
              <w:jc w:val="left"/>
            </w:pPr>
            <w:r>
              <w:rPr>
                <w:b/>
                <w:bCs/>
                <w:color w:val="2B2B2B"/>
                <w:sz w:val="20"/>
                <w:szCs w:val="20"/>
              </w:rPr>
              <w:t xml:space="preserve">Pro</w:t>
            </w:r>
          </w:p>
        </w:tc>
        <w:tc>
          <w:tcPr>
            <w:tcW w:type="dxa" w:w="1872"/>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bCs/>
                <w:color w:val="2D5F3F"/>
                <w:sz w:val="20"/>
                <w:szCs w:val="20"/>
              </w:rPr>
              <w:t xml:space="preserve">29 €</w:t>
            </w:r>
          </w:p>
        </w:tc>
        <w:tc>
          <w:tcPr>
            <w:tcW w:type="dxa" w:w="1872"/>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5 (+ Productivité, Veilleur, Critique, Coach Personnel)</w:t>
            </w:r>
          </w:p>
        </w:tc>
        <w:tc>
          <w:tcPr>
            <w:tcW w:type="dxa" w:w="1872"/>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Illimité, brief complet, Council allege</w:t>
            </w:r>
          </w:p>
        </w:tc>
        <w:tc>
          <w:tcPr>
            <w:tcW w:type="dxa" w:w="1872"/>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Solo entrepreneur, freelance</w:t>
            </w:r>
          </w:p>
        </w:tc>
      </w:tr>
      <w:tr>
        <w:tc>
          <w:tcPr>
            <w:tcW w:type="dxa" w:w="1872"/>
            <w:tcBorders>
              <w:top w:val="single" w:color="6B7280" w:sz="6"/>
              <w:left w:val="single" w:color="6B7280" w:sz="6"/>
              <w:bottom w:val="single" w:color="6B7280" w:sz="6"/>
              <w:right w:val="single" w:color="6B7280" w:sz="6"/>
            </w:tcBorders>
            <w:shd w:fill="F5F1EB" w:val="clear"/>
            <w:tcMar>
              <w:top w:type="dxa" w:w="100"/>
              <w:left w:type="dxa" w:w="140"/>
              <w:bottom w:type="dxa" w:w="100"/>
              <w:right w:type="dxa" w:w="140"/>
            </w:tcMar>
          </w:tcPr>
          <w:p>
            <w:pPr>
              <w:jc w:val="left"/>
            </w:pPr>
            <w:r>
              <w:rPr>
                <w:b/>
                <w:bCs/>
                <w:color w:val="2B2B2B"/>
                <w:sz w:val="20"/>
                <w:szCs w:val="20"/>
              </w:rPr>
              <w:t xml:space="preserve">Premium</w:t>
            </w:r>
          </w:p>
        </w:tc>
        <w:tc>
          <w:tcPr>
            <w:tcW w:type="dxa" w:w="1872"/>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bCs/>
                <w:color w:val="2D5F3F"/>
                <w:sz w:val="20"/>
                <w:szCs w:val="20"/>
              </w:rPr>
              <w:t xml:space="preserve">79 €</w:t>
            </w:r>
          </w:p>
        </w:tc>
        <w:tc>
          <w:tcPr>
            <w:tcW w:type="dxa" w:w="1872"/>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10 (tous)</w:t>
            </w:r>
          </w:p>
        </w:tc>
        <w:tc>
          <w:tcPr>
            <w:tcW w:type="dxa" w:w="1872"/>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Tout illimité, intégrations, Council complet, support prioritaire</w:t>
            </w:r>
          </w:p>
        </w:tc>
        <w:tc>
          <w:tcPr>
            <w:tcW w:type="dxa" w:w="1872"/>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TPE 2–10 salariés</w:t>
            </w:r>
          </w:p>
        </w:tc>
      </w:tr>
      <w:tr>
        <w:tc>
          <w:tcPr>
            <w:tcW w:type="dxa" w:w="1872"/>
            <w:tcBorders>
              <w:top w:val="single" w:color="6B7280" w:sz="6"/>
              <w:left w:val="single" w:color="6B7280" w:sz="6"/>
              <w:bottom w:val="single" w:color="6B7280" w:sz="6"/>
              <w:right w:val="single" w:color="6B7280" w:sz="6"/>
            </w:tcBorders>
            <w:shd w:fill="F5F1EB" w:val="clear"/>
            <w:tcMar>
              <w:top w:type="dxa" w:w="100"/>
              <w:left w:type="dxa" w:w="140"/>
              <w:bottom w:type="dxa" w:w="100"/>
              <w:right w:type="dxa" w:w="140"/>
            </w:tcMar>
          </w:tcPr>
          <w:p>
            <w:pPr>
              <w:jc w:val="left"/>
            </w:pPr>
            <w:r>
              <w:rPr>
                <w:b/>
                <w:bCs/>
                <w:color w:val="2B2B2B"/>
                <w:sz w:val="20"/>
                <w:szCs w:val="20"/>
              </w:rPr>
              <w:t xml:space="preserve">Enterprise</w:t>
            </w:r>
          </w:p>
        </w:tc>
        <w:tc>
          <w:tcPr>
            <w:tcW w:type="dxa" w:w="1872"/>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bCs/>
                <w:color w:val="2D5F3F"/>
                <w:sz w:val="20"/>
                <w:szCs w:val="20"/>
              </w:rPr>
              <w:t xml:space="preserve">199 €</w:t>
            </w:r>
          </w:p>
        </w:tc>
        <w:tc>
          <w:tcPr>
            <w:tcW w:type="dxa" w:w="1872"/>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10 + custom</w:t>
            </w:r>
          </w:p>
        </w:tc>
        <w:tc>
          <w:tcPr>
            <w:tcW w:type="dxa" w:w="1872"/>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Multi-utilisateurs, API, formation, customisation secteur</w:t>
            </w:r>
          </w:p>
        </w:tc>
        <w:tc>
          <w:tcPr>
            <w:tcW w:type="dxa" w:w="1872"/>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PME 10–50 salariés</w:t>
            </w:r>
          </w:p>
        </w:tc>
      </w:tr>
    </w:tbl>
    <w:p>
      <w:r>
        <w:rPr>
          <w:sz w:val="16"/>
          <w:szCs w:val="16"/>
        </w:rPr>
        <w:t xml:space="preserve"> </w:t>
      </w:r>
    </w:p>
    <w:p>
      <w:pPr>
        <w:pStyle w:val="Heading2"/>
        <w:spacing w:after="160" w:before="280"/>
      </w:pPr>
      <w:r>
        <w:rPr>
          <w:b/>
          <w:bCs/>
          <w:color w:val="1F2A44"/>
          <w:sz w:val="28"/>
          <w:szCs w:val="28"/>
        </w:rPr>
        <w:t xml:space="preserve">Sources de revenus secondaires</w:t>
      </w:r>
    </w:p>
    <w:p>
      <w:pPr>
        <w:pStyle w:val="ListParagraph"/>
        <w:numPr>
          <w:ilvl w:val="0"/>
          <w:numId w:val="2"/>
        </w:numPr>
        <w:spacing w:after="80" w:line="300"/>
      </w:pPr>
      <w:r>
        <w:rPr>
          <w:b/>
          <w:bCs/>
          <w:color w:val="1F2A44"/>
          <w:sz w:val="22"/>
          <w:szCs w:val="22"/>
        </w:rPr>
        <w:t xml:space="preserve">Affiliation logiciels. </w:t>
      </w:r>
      <w:r>
        <w:rPr>
          <w:color w:val="2B2B2B"/>
          <w:sz w:val="22"/>
          <w:szCs w:val="22"/>
        </w:rPr>
        <w:t xml:space="preserve"> Lorsque le Productivité ou le Stratège recommandent un outil tiers (Pennylane, Notion, Make), commission affilié si conversion. Politique stricte : seuls les outils validés indepéndamment de la commission sont proposés, et le caractère affilié est toujours déclaré.</w:t>
      </w:r>
    </w:p>
    <w:p>
      <w:pPr>
        <w:pStyle w:val="ListParagraph"/>
        <w:numPr>
          <w:ilvl w:val="0"/>
          <w:numId w:val="2"/>
        </w:numPr>
        <w:spacing w:after="80" w:line="300"/>
      </w:pPr>
      <w:r>
        <w:rPr>
          <w:b/>
          <w:bCs/>
          <w:color w:val="1F2A44"/>
          <w:sz w:val="22"/>
          <w:szCs w:val="22"/>
        </w:rPr>
        <w:t xml:space="preserve">Marketplace experts. </w:t>
      </w:r>
      <w:r>
        <w:rPr>
          <w:color w:val="2B2B2B"/>
          <w:sz w:val="22"/>
          <w:szCs w:val="22"/>
        </w:rPr>
        <w:t xml:space="preserve"> Pour les décisions critiques que l'IA ne peut pas couvrir (avis d'avocat, expert-comptable agréé, coach humain), Council 10 propose une mise en relation à la consultation, avec une commission de 15–20 % facturée à l'expert.</w:t>
      </w:r>
    </w:p>
    <w:p>
      <w:pPr>
        <w:pStyle w:val="ListParagraph"/>
        <w:numPr>
          <w:ilvl w:val="0"/>
          <w:numId w:val="2"/>
        </w:numPr>
        <w:spacing w:after="80" w:line="300"/>
      </w:pPr>
      <w:r>
        <w:rPr>
          <w:b/>
          <w:bCs/>
          <w:color w:val="1F2A44"/>
          <w:sz w:val="22"/>
          <w:szCs w:val="22"/>
        </w:rPr>
        <w:t xml:space="preserve">Formations. </w:t>
      </w:r>
      <w:r>
        <w:rPr>
          <w:color w:val="2B2B2B"/>
          <w:sz w:val="22"/>
          <w:szCs w:val="22"/>
        </w:rPr>
        <w:t xml:space="preserve"> Cours premium (« Maîtriser sa trésorerie en 5h », « Préparer un rachat d'entreprise ») co-animés avec experts humains, proposés aux utilisateurs Pro/Premium à prix réduit.</w:t>
      </w:r>
    </w:p>
    <w:p>
      <w:pPr>
        <w:pStyle w:val="ListParagraph"/>
        <w:numPr>
          <w:ilvl w:val="0"/>
          <w:numId w:val="2"/>
        </w:numPr>
        <w:spacing w:after="80" w:line="300"/>
      </w:pPr>
      <w:r>
        <w:rPr>
          <w:b/>
          <w:bCs/>
          <w:color w:val="1F2A44"/>
          <w:sz w:val="22"/>
          <w:szCs w:val="22"/>
        </w:rPr>
        <w:t xml:space="preserve">Données agrégées anonymisées. </w:t>
      </w:r>
      <w:r>
        <w:rPr>
          <w:color w:val="2B2B2B"/>
          <w:sz w:val="22"/>
          <w:szCs w:val="22"/>
        </w:rPr>
        <w:t xml:space="preserve"> À grand volume utilisateur, vente de rapports macro (par exemple : « Indice de confiance des artisans BTP par région ») à des médias économiques ou fédérations professionnelles. Conditions de cession strictes, opt-in systématique.</w:t>
      </w:r>
    </w:p>
    <w:p>
      <w:pPr>
        <w:pStyle w:val="Heading2"/>
        <w:spacing w:after="160" w:before="280"/>
      </w:pPr>
      <w:r>
        <w:rPr>
          <w:b/>
          <w:bCs/>
          <w:color w:val="1F2A44"/>
          <w:sz w:val="28"/>
          <w:szCs w:val="28"/>
        </w:rPr>
        <w:t xml:space="preserve">Hypothèses de croissance à 5 ans</w:t>
      </w:r>
    </w:p>
    <w:p>
      <w:pPr>
        <w:spacing w:after="120" w:line="320"/>
        <w:jc w:val="both"/>
      </w:pPr>
      <w:r>
        <w:rPr>
          <w:color w:val="2B2B2B"/>
          <w:sz w:val="22"/>
          <w:szCs w:val="22"/>
        </w:rPr>
        <w:t xml:space="preserve">Scénario central, hors levées de fonds. Réaliste si la rétention M3 dépasse 25 % et l'ARPU se stabilise à 45 €.</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560"/>
        <w:gridCol w:w="1560"/>
        <w:gridCol w:w="1560"/>
        <w:gridCol w:w="1560"/>
        <w:gridCol w:w="1560"/>
        <w:gridCol w:w="1560"/>
      </w:tblGrid>
      <w:tr>
        <w:trPr>
          <w:tblHeader/>
        </w:trPr>
        <w:tc>
          <w:tcPr>
            <w:tcW w:type="dxa" w:w="1560"/>
            <w:tcBorders>
              <w:top w:val="single" w:color="6B7280" w:sz="6"/>
              <w:left w:val="single" w:color="6B7280" w:sz="6"/>
              <w:bottom w:val="single" w:color="6B7280" w:sz="6"/>
              <w:right w:val="single" w:color="6B7280" w:sz="6"/>
            </w:tcBorders>
            <w:shd w:fill="1F2A44" w:val="clear"/>
            <w:tcMar>
              <w:top w:type="dxa" w:w="100"/>
              <w:left w:type="dxa" w:w="140"/>
              <w:bottom w:type="dxa" w:w="100"/>
              <w:right w:type="dxa" w:w="140"/>
            </w:tcMar>
          </w:tcPr>
          <w:p>
            <w:pPr>
              <w:jc w:val="left"/>
            </w:pPr>
            <w:r>
              <w:rPr>
                <w:b/>
                <w:bCs/>
                <w:color w:val="FFFFFF"/>
                <w:sz w:val="20"/>
                <w:szCs w:val="20"/>
              </w:rPr>
              <w:t xml:space="preserve">Année</w:t>
            </w:r>
          </w:p>
        </w:tc>
        <w:tc>
          <w:tcPr>
            <w:tcW w:type="dxa" w:w="1560"/>
            <w:tcBorders>
              <w:top w:val="single" w:color="6B7280" w:sz="6"/>
              <w:left w:val="single" w:color="6B7280" w:sz="6"/>
              <w:bottom w:val="single" w:color="6B7280" w:sz="6"/>
              <w:right w:val="single" w:color="6B7280" w:sz="6"/>
            </w:tcBorders>
            <w:shd w:fill="1F2A44" w:val="clear"/>
            <w:tcMar>
              <w:top w:type="dxa" w:w="100"/>
              <w:left w:type="dxa" w:w="140"/>
              <w:bottom w:type="dxa" w:w="100"/>
              <w:right w:type="dxa" w:w="140"/>
            </w:tcMar>
          </w:tcPr>
          <w:p>
            <w:pPr>
              <w:jc w:val="left"/>
            </w:pPr>
            <w:r>
              <w:rPr>
                <w:b/>
                <w:bCs/>
                <w:color w:val="FFFFFF"/>
                <w:sz w:val="20"/>
                <w:szCs w:val="20"/>
              </w:rPr>
              <w:t xml:space="preserve">Utilisateurs gratuits</w:t>
            </w:r>
          </w:p>
        </w:tc>
        <w:tc>
          <w:tcPr>
            <w:tcW w:type="dxa" w:w="1560"/>
            <w:tcBorders>
              <w:top w:val="single" w:color="6B7280" w:sz="6"/>
              <w:left w:val="single" w:color="6B7280" w:sz="6"/>
              <w:bottom w:val="single" w:color="6B7280" w:sz="6"/>
              <w:right w:val="single" w:color="6B7280" w:sz="6"/>
            </w:tcBorders>
            <w:shd w:fill="1F2A44" w:val="clear"/>
            <w:tcMar>
              <w:top w:type="dxa" w:w="100"/>
              <w:left w:type="dxa" w:w="140"/>
              <w:bottom w:type="dxa" w:w="100"/>
              <w:right w:type="dxa" w:w="140"/>
            </w:tcMar>
          </w:tcPr>
          <w:p>
            <w:pPr>
              <w:jc w:val="left"/>
            </w:pPr>
            <w:r>
              <w:rPr>
                <w:b/>
                <w:bCs/>
                <w:color w:val="FFFFFF"/>
                <w:sz w:val="20"/>
                <w:szCs w:val="20"/>
              </w:rPr>
              <w:t xml:space="preserve">Utilisateurs payants</w:t>
            </w:r>
          </w:p>
        </w:tc>
        <w:tc>
          <w:tcPr>
            <w:tcW w:type="dxa" w:w="1560"/>
            <w:tcBorders>
              <w:top w:val="single" w:color="6B7280" w:sz="6"/>
              <w:left w:val="single" w:color="6B7280" w:sz="6"/>
              <w:bottom w:val="single" w:color="6B7280" w:sz="6"/>
              <w:right w:val="single" w:color="6B7280" w:sz="6"/>
            </w:tcBorders>
            <w:shd w:fill="1F2A44" w:val="clear"/>
            <w:tcMar>
              <w:top w:type="dxa" w:w="100"/>
              <w:left w:type="dxa" w:w="140"/>
              <w:bottom w:type="dxa" w:w="100"/>
              <w:right w:type="dxa" w:w="140"/>
            </w:tcMar>
          </w:tcPr>
          <w:p>
            <w:pPr>
              <w:jc w:val="left"/>
            </w:pPr>
            <w:r>
              <w:rPr>
                <w:b/>
                <w:bCs/>
                <w:color w:val="FFFFFF"/>
                <w:sz w:val="20"/>
                <w:szCs w:val="20"/>
              </w:rPr>
              <w:t xml:space="preserve">Taux conversion</w:t>
            </w:r>
          </w:p>
        </w:tc>
        <w:tc>
          <w:tcPr>
            <w:tcW w:type="dxa" w:w="1560"/>
            <w:tcBorders>
              <w:top w:val="single" w:color="6B7280" w:sz="6"/>
              <w:left w:val="single" w:color="6B7280" w:sz="6"/>
              <w:bottom w:val="single" w:color="6B7280" w:sz="6"/>
              <w:right w:val="single" w:color="6B7280" w:sz="6"/>
            </w:tcBorders>
            <w:shd w:fill="1F2A44" w:val="clear"/>
            <w:tcMar>
              <w:top w:type="dxa" w:w="100"/>
              <w:left w:type="dxa" w:w="140"/>
              <w:bottom w:type="dxa" w:w="100"/>
              <w:right w:type="dxa" w:w="140"/>
            </w:tcMar>
          </w:tcPr>
          <w:p>
            <w:pPr>
              <w:jc w:val="left"/>
            </w:pPr>
            <w:r>
              <w:rPr>
                <w:b/>
                <w:bCs/>
                <w:color w:val="FFFFFF"/>
                <w:sz w:val="20"/>
                <w:szCs w:val="20"/>
              </w:rPr>
              <w:t xml:space="preserve">ARPU</w:t>
            </w:r>
          </w:p>
        </w:tc>
        <w:tc>
          <w:tcPr>
            <w:tcW w:type="dxa" w:w="1560"/>
            <w:tcBorders>
              <w:top w:val="single" w:color="6B7280" w:sz="6"/>
              <w:left w:val="single" w:color="6B7280" w:sz="6"/>
              <w:bottom w:val="single" w:color="6B7280" w:sz="6"/>
              <w:right w:val="single" w:color="6B7280" w:sz="6"/>
            </w:tcBorders>
            <w:shd w:fill="1F2A44" w:val="clear"/>
            <w:tcMar>
              <w:top w:type="dxa" w:w="100"/>
              <w:left w:type="dxa" w:w="140"/>
              <w:bottom w:type="dxa" w:w="100"/>
              <w:right w:type="dxa" w:w="140"/>
            </w:tcMar>
          </w:tcPr>
          <w:p>
            <w:pPr>
              <w:jc w:val="left"/>
            </w:pPr>
            <w:r>
              <w:rPr>
                <w:b/>
                <w:bCs/>
                <w:color w:val="FFFFFF"/>
                <w:sz w:val="20"/>
                <w:szCs w:val="20"/>
              </w:rPr>
              <w:t xml:space="preserve">ARR</w:t>
            </w:r>
          </w:p>
        </w:tc>
      </w:tr>
      <w:tr>
        <w:tc>
          <w:tcPr>
            <w:tcW w:type="dxa" w:w="1560"/>
            <w:tcBorders>
              <w:top w:val="single" w:color="6B7280" w:sz="6"/>
              <w:left w:val="single" w:color="6B7280" w:sz="6"/>
              <w:bottom w:val="single" w:color="6B7280" w:sz="6"/>
              <w:right w:val="single" w:color="6B7280" w:sz="6"/>
            </w:tcBorders>
            <w:shd w:fill="F5F1EB" w:val="clear"/>
            <w:tcMar>
              <w:top w:type="dxa" w:w="100"/>
              <w:left w:type="dxa" w:w="140"/>
              <w:bottom w:type="dxa" w:w="100"/>
              <w:right w:type="dxa" w:w="140"/>
            </w:tcMar>
          </w:tcPr>
          <w:p>
            <w:pPr>
              <w:jc w:val="left"/>
            </w:pPr>
            <w:r>
              <w:rPr>
                <w:b/>
                <w:bCs/>
                <w:color w:val="2B2B2B"/>
                <w:sz w:val="20"/>
                <w:szCs w:val="20"/>
              </w:rPr>
              <w:t xml:space="preserve">An 1 (MVP → V1)</w:t>
            </w:r>
          </w:p>
        </w:tc>
        <w:tc>
          <w:tcPr>
            <w:tcW w:type="dxa" w:w="156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3 000</w:t>
            </w:r>
          </w:p>
        </w:tc>
        <w:tc>
          <w:tcPr>
            <w:tcW w:type="dxa" w:w="156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400</w:t>
            </w:r>
          </w:p>
        </w:tc>
        <w:tc>
          <w:tcPr>
            <w:tcW w:type="dxa" w:w="156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13 %</w:t>
            </w:r>
          </w:p>
        </w:tc>
        <w:tc>
          <w:tcPr>
            <w:tcW w:type="dxa" w:w="156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38 €</w:t>
            </w:r>
          </w:p>
        </w:tc>
        <w:tc>
          <w:tcPr>
            <w:tcW w:type="dxa" w:w="156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180 K€</w:t>
            </w:r>
          </w:p>
        </w:tc>
      </w:tr>
      <w:tr>
        <w:tc>
          <w:tcPr>
            <w:tcW w:type="dxa" w:w="1560"/>
            <w:tcBorders>
              <w:top w:val="single" w:color="6B7280" w:sz="6"/>
              <w:left w:val="single" w:color="6B7280" w:sz="6"/>
              <w:bottom w:val="single" w:color="6B7280" w:sz="6"/>
              <w:right w:val="single" w:color="6B7280" w:sz="6"/>
            </w:tcBorders>
            <w:shd w:fill="F5F1EB" w:val="clear"/>
            <w:tcMar>
              <w:top w:type="dxa" w:w="100"/>
              <w:left w:type="dxa" w:w="140"/>
              <w:bottom w:type="dxa" w:w="100"/>
              <w:right w:type="dxa" w:w="140"/>
            </w:tcMar>
          </w:tcPr>
          <w:p>
            <w:pPr>
              <w:jc w:val="left"/>
            </w:pPr>
            <w:r>
              <w:rPr>
                <w:b/>
                <w:bCs/>
                <w:color w:val="2B2B2B"/>
                <w:sz w:val="20"/>
                <w:szCs w:val="20"/>
              </w:rPr>
              <w:t xml:space="preserve">An 2</w:t>
            </w:r>
          </w:p>
        </w:tc>
        <w:tc>
          <w:tcPr>
            <w:tcW w:type="dxa" w:w="156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12 000</w:t>
            </w:r>
          </w:p>
        </w:tc>
        <w:tc>
          <w:tcPr>
            <w:tcW w:type="dxa" w:w="156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2 000</w:t>
            </w:r>
          </w:p>
        </w:tc>
        <w:tc>
          <w:tcPr>
            <w:tcW w:type="dxa" w:w="156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17 %</w:t>
            </w:r>
          </w:p>
        </w:tc>
        <w:tc>
          <w:tcPr>
            <w:tcW w:type="dxa" w:w="156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42 €</w:t>
            </w:r>
          </w:p>
        </w:tc>
        <w:tc>
          <w:tcPr>
            <w:tcW w:type="dxa" w:w="156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1,0 M€</w:t>
            </w:r>
          </w:p>
        </w:tc>
      </w:tr>
      <w:tr>
        <w:tc>
          <w:tcPr>
            <w:tcW w:type="dxa" w:w="1560"/>
            <w:tcBorders>
              <w:top w:val="single" w:color="6B7280" w:sz="6"/>
              <w:left w:val="single" w:color="6B7280" w:sz="6"/>
              <w:bottom w:val="single" w:color="6B7280" w:sz="6"/>
              <w:right w:val="single" w:color="6B7280" w:sz="6"/>
            </w:tcBorders>
            <w:shd w:fill="F5F1EB" w:val="clear"/>
            <w:tcMar>
              <w:top w:type="dxa" w:w="100"/>
              <w:left w:type="dxa" w:w="140"/>
              <w:bottom w:type="dxa" w:w="100"/>
              <w:right w:type="dxa" w:w="140"/>
            </w:tcMar>
          </w:tcPr>
          <w:p>
            <w:pPr>
              <w:jc w:val="left"/>
            </w:pPr>
            <w:r>
              <w:rPr>
                <w:b/>
                <w:bCs/>
                <w:color w:val="2B2B2B"/>
                <w:sz w:val="20"/>
                <w:szCs w:val="20"/>
              </w:rPr>
              <w:t xml:space="preserve">An 3</w:t>
            </w:r>
          </w:p>
        </w:tc>
        <w:tc>
          <w:tcPr>
            <w:tcW w:type="dxa" w:w="156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35 000</w:t>
            </w:r>
          </w:p>
        </w:tc>
        <w:tc>
          <w:tcPr>
            <w:tcW w:type="dxa" w:w="156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8 000</w:t>
            </w:r>
          </w:p>
        </w:tc>
        <w:tc>
          <w:tcPr>
            <w:tcW w:type="dxa" w:w="156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23 %</w:t>
            </w:r>
          </w:p>
        </w:tc>
        <w:tc>
          <w:tcPr>
            <w:tcW w:type="dxa" w:w="156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45 €</w:t>
            </w:r>
          </w:p>
        </w:tc>
        <w:tc>
          <w:tcPr>
            <w:tcW w:type="dxa" w:w="156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4,3 M€</w:t>
            </w:r>
          </w:p>
        </w:tc>
      </w:tr>
      <w:tr>
        <w:tc>
          <w:tcPr>
            <w:tcW w:type="dxa" w:w="1560"/>
            <w:tcBorders>
              <w:top w:val="single" w:color="6B7280" w:sz="6"/>
              <w:left w:val="single" w:color="6B7280" w:sz="6"/>
              <w:bottom w:val="single" w:color="6B7280" w:sz="6"/>
              <w:right w:val="single" w:color="6B7280" w:sz="6"/>
            </w:tcBorders>
            <w:shd w:fill="F5F1EB" w:val="clear"/>
            <w:tcMar>
              <w:top w:type="dxa" w:w="100"/>
              <w:left w:type="dxa" w:w="140"/>
              <w:bottom w:type="dxa" w:w="100"/>
              <w:right w:type="dxa" w:w="140"/>
            </w:tcMar>
          </w:tcPr>
          <w:p>
            <w:pPr>
              <w:jc w:val="left"/>
            </w:pPr>
            <w:r>
              <w:rPr>
                <w:b/>
                <w:bCs/>
                <w:color w:val="2B2B2B"/>
                <w:sz w:val="20"/>
                <w:szCs w:val="20"/>
              </w:rPr>
              <w:t xml:space="preserve">An 4</w:t>
            </w:r>
          </w:p>
        </w:tc>
        <w:tc>
          <w:tcPr>
            <w:tcW w:type="dxa" w:w="156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90 000</w:t>
            </w:r>
          </w:p>
        </w:tc>
        <w:tc>
          <w:tcPr>
            <w:tcW w:type="dxa" w:w="156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22 000</w:t>
            </w:r>
          </w:p>
        </w:tc>
        <w:tc>
          <w:tcPr>
            <w:tcW w:type="dxa" w:w="156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24 %</w:t>
            </w:r>
          </w:p>
        </w:tc>
        <w:tc>
          <w:tcPr>
            <w:tcW w:type="dxa" w:w="156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47 €</w:t>
            </w:r>
          </w:p>
        </w:tc>
        <w:tc>
          <w:tcPr>
            <w:tcW w:type="dxa" w:w="156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12,4 M€</w:t>
            </w:r>
          </w:p>
        </w:tc>
      </w:tr>
      <w:tr>
        <w:tc>
          <w:tcPr>
            <w:tcW w:type="dxa" w:w="1560"/>
            <w:tcBorders>
              <w:top w:val="single" w:color="6B7280" w:sz="6"/>
              <w:left w:val="single" w:color="6B7280" w:sz="6"/>
              <w:bottom w:val="single" w:color="6B7280" w:sz="6"/>
              <w:right w:val="single" w:color="6B7280" w:sz="6"/>
            </w:tcBorders>
            <w:shd w:fill="F5F1EB" w:val="clear"/>
            <w:tcMar>
              <w:top w:type="dxa" w:w="100"/>
              <w:left w:type="dxa" w:w="140"/>
              <w:bottom w:type="dxa" w:w="100"/>
              <w:right w:type="dxa" w:w="140"/>
            </w:tcMar>
          </w:tcPr>
          <w:p>
            <w:pPr>
              <w:jc w:val="left"/>
            </w:pPr>
            <w:r>
              <w:rPr>
                <w:b/>
                <w:bCs/>
                <w:color w:val="2B2B2B"/>
                <w:sz w:val="20"/>
                <w:szCs w:val="20"/>
              </w:rPr>
              <w:t xml:space="preserve">An 5</w:t>
            </w:r>
          </w:p>
        </w:tc>
        <w:tc>
          <w:tcPr>
            <w:tcW w:type="dxa" w:w="156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180 000</w:t>
            </w:r>
          </w:p>
        </w:tc>
        <w:tc>
          <w:tcPr>
            <w:tcW w:type="dxa" w:w="156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48 000</w:t>
            </w:r>
          </w:p>
        </w:tc>
        <w:tc>
          <w:tcPr>
            <w:tcW w:type="dxa" w:w="156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27 %</w:t>
            </w:r>
          </w:p>
        </w:tc>
        <w:tc>
          <w:tcPr>
            <w:tcW w:type="dxa" w:w="156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48 €</w:t>
            </w:r>
          </w:p>
        </w:tc>
        <w:tc>
          <w:tcPr>
            <w:tcW w:type="dxa" w:w="1560"/>
            <w:tcBorders>
              <w:top w:val="single" w:color="6B7280" w:sz="6"/>
              <w:left w:val="single" w:color="6B7280" w:sz="6"/>
              <w:bottom w:val="single" w:color="6B7280" w:sz="6"/>
              <w:right w:val="single" w:color="6B7280" w:sz="6"/>
            </w:tcBorders>
            <w:tcMar>
              <w:top w:type="dxa" w:w="100"/>
              <w:left w:type="dxa" w:w="140"/>
              <w:bottom w:type="dxa" w:w="100"/>
              <w:right w:type="dxa" w:w="140"/>
            </w:tcMar>
          </w:tcPr>
          <w:p>
            <w:pPr>
              <w:jc w:val="left"/>
            </w:pPr>
            <w:r>
              <w:rPr>
                <w:b w:val="false"/>
                <w:bCs w:val="false"/>
                <w:color w:val="2B2B2B"/>
                <w:sz w:val="20"/>
                <w:szCs w:val="20"/>
              </w:rPr>
              <w:t xml:space="preserve">27,6 M€</w:t>
            </w:r>
          </w:p>
        </w:tc>
      </w:tr>
    </w:tbl>
    <w:p>
      <w:r>
        <w:rPr>
          <w:sz w:val="16"/>
          <w:szCs w:val="16"/>
        </w:rPr>
        <w:t xml:space="preserve"> </w:t>
      </w:r>
    </w:p>
    <w:p>
      <w:pPr>
        <w:pStyle w:val="Heading2"/>
        <w:spacing w:after="160" w:before="280"/>
      </w:pPr>
      <w:r>
        <w:rPr>
          <w:b/>
          <w:bCs/>
          <w:color w:val="1F2A44"/>
          <w:sz w:val="28"/>
          <w:szCs w:val="28"/>
        </w:rPr>
        <w:t xml:space="preserve">Coûts d'inférence IA — le poste critique</w:t>
      </w:r>
    </w:p>
    <w:p>
      <w:pPr>
        <w:spacing w:after="120" w:line="320"/>
        <w:jc w:val="both"/>
      </w:pPr>
      <w:r>
        <w:rPr>
          <w:color w:val="2B2B2B"/>
          <w:sz w:val="22"/>
          <w:szCs w:val="22"/>
        </w:rPr>
        <w:t xml:space="preserve">Le risque économique principal est le coût LLM par utilisateur. Estimation actuelle : 2,30 €/utilisateur/mois pour un Pro actif (10–20 sessions/jour, contexte personnel chargé), 5,80 € pour un Premium qui déclenche régulièrement le Council complet.</w:t>
      </w:r>
    </w:p>
    <w:p>
      <w:pPr>
        <w:spacing w:after="120" w:line="320"/>
        <w:jc w:val="both"/>
      </w:pPr>
      <w:r>
        <w:rPr>
          <w:color w:val="2B2B2B"/>
          <w:sz w:val="22"/>
          <w:szCs w:val="22"/>
        </w:rPr>
        <w:t xml:space="preserve">Trois leviers de réduction sont intégrés dès le MVP.</w:t>
      </w:r>
    </w:p>
    <w:p>
      <w:pPr>
        <w:pStyle w:val="ListParagraph"/>
        <w:numPr>
          <w:ilvl w:val="0"/>
          <w:numId w:val="2"/>
        </w:numPr>
        <w:spacing w:after="80" w:line="300"/>
      </w:pPr>
      <w:r>
        <w:rPr>
          <w:color w:val="2B2B2B"/>
          <w:sz w:val="22"/>
          <w:szCs w:val="22"/>
        </w:rPr>
        <w:t xml:space="preserve">Multi-LLM avec routage par requête (Haiku pour le routing, Sonnet pour les réponses standards, Opus pour les Council).</w:t>
      </w:r>
    </w:p>
    <w:p>
      <w:pPr>
        <w:pStyle w:val="ListParagraph"/>
        <w:numPr>
          <w:ilvl w:val="0"/>
          <w:numId w:val="2"/>
        </w:numPr>
        <w:spacing w:after="80" w:line="300"/>
      </w:pPr>
      <w:r>
        <w:rPr>
          <w:color w:val="2B2B2B"/>
          <w:sz w:val="22"/>
          <w:szCs w:val="22"/>
        </w:rPr>
        <w:t xml:space="preserve">Cache aggressif sur les questions récurrentes du même utilisateur (les profils ont des patterns).</w:t>
      </w:r>
    </w:p>
    <w:p>
      <w:pPr>
        <w:pStyle w:val="ListParagraph"/>
        <w:numPr>
          <w:ilvl w:val="0"/>
          <w:numId w:val="2"/>
        </w:numPr>
        <w:spacing w:after="80" w:line="300"/>
      </w:pPr>
      <w:r>
        <w:rPr>
          <w:color w:val="2B2B2B"/>
          <w:sz w:val="22"/>
          <w:szCs w:val="22"/>
        </w:rPr>
        <w:t xml:space="preserve">Fine-tuning d'un modèle local (Mistral 7B ou Llama 3) pour le Stratège Business sur 50 K conversations à partir du mois 12.</w:t>
      </w:r>
    </w:p>
    <w:p>
      <w:pPr>
        <w:spacing w:after="120" w:line="320"/>
        <w:jc w:val="both"/>
      </w:pPr>
      <w:r>
        <w:rPr>
          <w:color w:val="2B2B2B"/>
          <w:sz w:val="22"/>
          <w:szCs w:val="22"/>
        </w:rPr>
        <w:t xml:space="preserve">Avec ces leviers, la marge brute par utilisateur Pro doit atteindre 80 % à l'échelle, et 70 % sur Premium.</w:t>
      </w:r>
    </w:p>
    <w:p>
      <w:r>
        <w:br w:type="page"/>
      </w:r>
    </w:p>
    <w:p>
      <w:pPr>
        <w:pStyle w:val="Heading1"/>
        <w:spacing w:after="200" w:before="360"/>
      </w:pPr>
      <w:r>
        <w:rPr>
          <w:b/>
          <w:bCs/>
          <w:color w:val="1F2A44"/>
          <w:sz w:val="36"/>
          <w:szCs w:val="36"/>
        </w:rPr>
        <w:t xml:space="preserve">Roadmap d'exécution</w:t>
      </w:r>
    </w:p>
    <w:p>
      <w:pPr>
        <w:spacing w:after="120" w:line="320"/>
        <w:jc w:val="both"/>
      </w:pPr>
      <w:r>
        <w:rPr>
          <w:color w:val="2B2B2B"/>
          <w:sz w:val="22"/>
          <w:szCs w:val="22"/>
        </w:rPr>
        <w:t xml:space="preserve">Quatre phases sur 24 mois. Chaque phase est indépendamment livrable — si le projet doit être arrêté ou pivoté à la fin de chaque phase, ce qui a été produit reste utilisable.</w:t>
      </w:r>
    </w:p>
    <w:p>
      <w:pPr>
        <w:pStyle w:val="Heading2"/>
        <w:spacing w:after="160" w:before="280"/>
      </w:pPr>
      <w:r>
        <w:rPr>
          <w:b/>
          <w:bCs/>
          <w:color w:val="1F2A44"/>
          <w:sz w:val="28"/>
          <w:szCs w:val="28"/>
        </w:rPr>
        <w:t xml:space="preserve">Phase 0 — Validation (semaines 1–6)</w:t>
      </w:r>
    </w:p>
    <w:p>
      <w:pPr>
        <w:spacing w:after="120" w:line="320"/>
        <w:jc w:val="both"/>
      </w:pPr>
      <w:r>
        <w:rPr>
          <w:color w:val="2B2B2B"/>
          <w:sz w:val="22"/>
          <w:szCs w:val="22"/>
        </w:rPr>
        <w:t xml:space="preserve">Avant toute ligne de code de production. Objectif : vérifier que la promesse résonne et que des entrepreneurs sont prêts à payer.</w:t>
      </w:r>
    </w:p>
    <w:p>
      <w:pPr>
        <w:pStyle w:val="ListParagraph"/>
        <w:numPr>
          <w:ilvl w:val="0"/>
          <w:numId w:val="2"/>
        </w:numPr>
        <w:spacing w:after="80" w:line="300"/>
      </w:pPr>
      <w:r>
        <w:rPr>
          <w:b/>
          <w:bCs/>
          <w:color w:val="1F2A44"/>
          <w:sz w:val="22"/>
          <w:szCs w:val="22"/>
        </w:rPr>
        <w:t xml:space="preserve">Semaine 1–2. </w:t>
      </w:r>
      <w:r>
        <w:rPr>
          <w:color w:val="2B2B2B"/>
          <w:sz w:val="22"/>
          <w:szCs w:val="22"/>
        </w:rPr>
        <w:t xml:space="preserve"> Le prototype cliquable produit dans la session présente est utilisé pour 20 entretiens utilisateurs (10 BTP + 10 autres TPE). Mesure : 70 % déclarent l'utiliser quotidiennement si gratuit, 30 % déclarent payer 29 €.</w:t>
      </w:r>
    </w:p>
    <w:p>
      <w:pPr>
        <w:pStyle w:val="ListParagraph"/>
        <w:numPr>
          <w:ilvl w:val="0"/>
          <w:numId w:val="2"/>
        </w:numPr>
        <w:spacing w:after="80" w:line="300"/>
      </w:pPr>
      <w:r>
        <w:rPr>
          <w:b/>
          <w:bCs/>
          <w:color w:val="1F2A44"/>
          <w:sz w:val="22"/>
          <w:szCs w:val="22"/>
        </w:rPr>
        <w:t xml:space="preserve">Semaine 3–4. </w:t>
      </w:r>
      <w:r>
        <w:rPr>
          <w:color w:val="2B2B2B"/>
          <w:sz w:val="22"/>
          <w:szCs w:val="22"/>
        </w:rPr>
        <w:t xml:space="preserve"> Si validation, recrutement de 50 beta-testeurs payants engagés à 12 €/mois (early bird) sur la promesse à venir.</w:t>
      </w:r>
    </w:p>
    <w:p>
      <w:pPr>
        <w:pStyle w:val="ListParagraph"/>
        <w:numPr>
          <w:ilvl w:val="0"/>
          <w:numId w:val="2"/>
        </w:numPr>
        <w:spacing w:after="80" w:line="300"/>
      </w:pPr>
      <w:r>
        <w:rPr>
          <w:b/>
          <w:bCs/>
          <w:color w:val="1F2A44"/>
          <w:sz w:val="22"/>
          <w:szCs w:val="22"/>
        </w:rPr>
        <w:t xml:space="preserve">Semaine 5–6. </w:t>
      </w:r>
      <w:r>
        <w:rPr>
          <w:color w:val="2B2B2B"/>
          <w:sz w:val="22"/>
          <w:szCs w:val="22"/>
        </w:rPr>
        <w:t xml:space="preserve"> Spécifications produit détaillées du MVP. Choix techniques (hébergement, LLM provider, base vectorielle, app web vs PWA).</w:t>
      </w:r>
    </w:p>
    <w:p>
      <w:pPr>
        <w:pStyle w:val="Heading2"/>
        <w:spacing w:after="160" w:before="280"/>
      </w:pPr>
      <w:r>
        <w:rPr>
          <w:b/>
          <w:bCs/>
          <w:color w:val="1F2A44"/>
          <w:sz w:val="28"/>
          <w:szCs w:val="28"/>
        </w:rPr>
        <w:t xml:space="preserve">Phase 1 — MVP (mois 3–6)</w:t>
      </w:r>
    </w:p>
    <w:p>
      <w:pPr>
        <w:spacing w:after="120" w:line="320"/>
        <w:jc w:val="both"/>
      </w:pPr>
      <w:r>
        <w:rPr>
          <w:color w:val="2B2B2B"/>
          <w:sz w:val="22"/>
          <w:szCs w:val="22"/>
        </w:rPr>
        <w:t xml:space="preserve">Trois agents seulement, mais qui marchent vraiment. Web app PWA-mobile-friendly, pas d'app native.</w:t>
      </w:r>
    </w:p>
    <w:p>
      <w:pPr>
        <w:pStyle w:val="ListParagraph"/>
        <w:numPr>
          <w:ilvl w:val="0"/>
          <w:numId w:val="2"/>
        </w:numPr>
        <w:spacing w:after="80" w:line="300"/>
      </w:pPr>
      <w:r>
        <w:rPr>
          <w:color w:val="2B2B2B"/>
          <w:sz w:val="22"/>
          <w:szCs w:val="22"/>
        </w:rPr>
        <w:t xml:space="preserve">Onboarding 7 questions + premier brief le lendemain matin.</w:t>
      </w:r>
    </w:p>
    <w:p>
      <w:pPr>
        <w:pStyle w:val="ListParagraph"/>
        <w:numPr>
          <w:ilvl w:val="0"/>
          <w:numId w:val="2"/>
        </w:numPr>
        <w:spacing w:after="80" w:line="300"/>
      </w:pPr>
      <w:r>
        <w:rPr>
          <w:color w:val="2B2B2B"/>
          <w:sz w:val="22"/>
          <w:szCs w:val="22"/>
        </w:rPr>
        <w:t xml:space="preserve">Stratège Business + Productivité + Critique.</w:t>
      </w:r>
    </w:p>
    <w:p>
      <w:pPr>
        <w:pStyle w:val="ListParagraph"/>
        <w:numPr>
          <w:ilvl w:val="0"/>
          <w:numId w:val="2"/>
        </w:numPr>
        <w:spacing w:after="80" w:line="300"/>
      </w:pPr>
      <w:r>
        <w:rPr>
          <w:color w:val="2B2B2B"/>
          <w:sz w:val="22"/>
          <w:szCs w:val="22"/>
        </w:rPr>
        <w:t xml:space="preserve">Conversation libre + déclenchement Council manuel.</w:t>
      </w:r>
    </w:p>
    <w:p>
      <w:pPr>
        <w:pStyle w:val="ListParagraph"/>
        <w:numPr>
          <w:ilvl w:val="0"/>
          <w:numId w:val="2"/>
        </w:numPr>
        <w:spacing w:after="80" w:line="300"/>
      </w:pPr>
      <w:r>
        <w:rPr>
          <w:color w:val="2B2B2B"/>
          <w:sz w:val="22"/>
          <w:szCs w:val="22"/>
        </w:rPr>
        <w:t xml:space="preserve">Brief matinal quotidien (PDF + email).</w:t>
      </w:r>
    </w:p>
    <w:p>
      <w:pPr>
        <w:pStyle w:val="ListParagraph"/>
        <w:numPr>
          <w:ilvl w:val="0"/>
          <w:numId w:val="2"/>
        </w:numPr>
        <w:spacing w:after="80" w:line="300"/>
      </w:pPr>
      <w:r>
        <w:rPr>
          <w:color w:val="2B2B2B"/>
          <w:sz w:val="22"/>
          <w:szCs w:val="22"/>
        </w:rPr>
        <w:t xml:space="preserve">Profil de base (niveau 1 et 2 partiel).</w:t>
      </w:r>
    </w:p>
    <w:p>
      <w:pPr>
        <w:pStyle w:val="ListParagraph"/>
        <w:numPr>
          <w:ilvl w:val="0"/>
          <w:numId w:val="2"/>
        </w:numPr>
        <w:spacing w:after="80" w:line="300"/>
      </w:pPr>
      <w:r>
        <w:rPr>
          <w:color w:val="2B2B2B"/>
          <w:sz w:val="22"/>
          <w:szCs w:val="22"/>
        </w:rPr>
        <w:t xml:space="preserve">Stockage des décisions, suivi 7 jours après.</w:t>
      </w:r>
    </w:p>
    <w:p>
      <w:pPr>
        <w:pStyle w:val="ListParagraph"/>
        <w:numPr>
          <w:ilvl w:val="0"/>
          <w:numId w:val="2"/>
        </w:numPr>
        <w:spacing w:after="80" w:line="300"/>
      </w:pPr>
      <w:r>
        <w:rPr>
          <w:color w:val="2B2B2B"/>
          <w:sz w:val="22"/>
          <w:szCs w:val="22"/>
        </w:rPr>
        <w:t xml:space="preserve">Stripe pour le paiement, 100 utilisateurs payants en cible.</w:t>
      </w:r>
    </w:p>
    <w:p>
      <w:pPr>
        <w:spacing w:after="120" w:line="320"/>
        <w:jc w:val="both"/>
      </w:pPr>
      <w:r>
        <w:rPr>
          <w:color w:val="2B2B2B"/>
          <w:sz w:val="22"/>
          <w:szCs w:val="22"/>
        </w:rPr>
        <w:t xml:space="preserve">Budget réaliste : 35–50 K€ en externalisation light, ou 3 mois à plein temps d'un développeur full-stack senior équivalent.</w:t>
      </w:r>
    </w:p>
    <w:p>
      <w:pPr>
        <w:pStyle w:val="Heading2"/>
        <w:spacing w:after="160" w:before="280"/>
      </w:pPr>
      <w:r>
        <w:rPr>
          <w:b/>
          <w:bCs/>
          <w:color w:val="1F2A44"/>
          <w:sz w:val="28"/>
          <w:szCs w:val="28"/>
        </w:rPr>
        <w:t xml:space="preserve">Phase 2 — V1 complète (mois 7–12)</w:t>
      </w:r>
    </w:p>
    <w:p>
      <w:pPr>
        <w:spacing w:after="120" w:line="320"/>
        <w:jc w:val="both"/>
      </w:pPr>
      <w:r>
        <w:rPr>
          <w:color w:val="2B2B2B"/>
          <w:sz w:val="22"/>
          <w:szCs w:val="22"/>
        </w:rPr>
        <w:t xml:space="preserve">Les dix agents au complet, expérience mobile native, intégrations clés.</w:t>
      </w:r>
    </w:p>
    <w:p>
      <w:pPr>
        <w:pStyle w:val="ListParagraph"/>
        <w:numPr>
          <w:ilvl w:val="0"/>
          <w:numId w:val="2"/>
        </w:numPr>
        <w:spacing w:after="80" w:line="300"/>
      </w:pPr>
      <w:r>
        <w:rPr>
          <w:color w:val="2B2B2B"/>
          <w:sz w:val="22"/>
          <w:szCs w:val="22"/>
        </w:rPr>
        <w:t xml:space="preserve">Les sept spécialistes métier ajoutés un par un, en mode beta avant généralisation.</w:t>
      </w:r>
    </w:p>
    <w:p>
      <w:pPr>
        <w:pStyle w:val="ListParagraph"/>
        <w:numPr>
          <w:ilvl w:val="0"/>
          <w:numId w:val="2"/>
        </w:numPr>
        <w:spacing w:after="80" w:line="300"/>
      </w:pPr>
      <w:r>
        <w:rPr>
          <w:color w:val="2B2B2B"/>
          <w:sz w:val="22"/>
          <w:szCs w:val="22"/>
        </w:rPr>
        <w:t xml:space="preserve">Apprentissage comportemental (niveau 3 détection).</w:t>
      </w:r>
    </w:p>
    <w:p>
      <w:pPr>
        <w:pStyle w:val="ListParagraph"/>
        <w:numPr>
          <w:ilvl w:val="0"/>
          <w:numId w:val="2"/>
        </w:numPr>
        <w:spacing w:after="80" w:line="300"/>
      </w:pPr>
      <w:r>
        <w:rPr>
          <w:color w:val="2B2B2B"/>
          <w:sz w:val="22"/>
          <w:szCs w:val="22"/>
        </w:rPr>
        <w:t xml:space="preserve">Apps natives iOS et Android.</w:t>
      </w:r>
    </w:p>
    <w:p>
      <w:pPr>
        <w:pStyle w:val="ListParagraph"/>
        <w:numPr>
          <w:ilvl w:val="0"/>
          <w:numId w:val="2"/>
        </w:numPr>
        <w:spacing w:after="80" w:line="300"/>
      </w:pPr>
      <w:r>
        <w:rPr>
          <w:color w:val="2B2B2B"/>
          <w:sz w:val="22"/>
          <w:szCs w:val="22"/>
        </w:rPr>
        <w:t xml:space="preserve">Intégrations : Google Calendar, Gmail, Pennylane, Bridge API banque.</w:t>
      </w:r>
    </w:p>
    <w:p>
      <w:pPr>
        <w:pStyle w:val="ListParagraph"/>
        <w:numPr>
          <w:ilvl w:val="0"/>
          <w:numId w:val="2"/>
        </w:numPr>
        <w:spacing w:after="80" w:line="300"/>
      </w:pPr>
      <w:r>
        <w:rPr>
          <w:color w:val="2B2B2B"/>
          <w:sz w:val="22"/>
          <w:szCs w:val="22"/>
        </w:rPr>
        <w:t xml:space="preserve">Marketplace experts en beta (10–20 partenaires).</w:t>
      </w:r>
    </w:p>
    <w:p>
      <w:pPr>
        <w:pStyle w:val="ListParagraph"/>
        <w:numPr>
          <w:ilvl w:val="0"/>
          <w:numId w:val="2"/>
        </w:numPr>
        <w:spacing w:after="80" w:line="300"/>
      </w:pPr>
      <w:r>
        <w:rPr>
          <w:color w:val="2B2B2B"/>
          <w:sz w:val="22"/>
          <w:szCs w:val="22"/>
        </w:rPr>
        <w:t xml:space="preserve">Cible : 2 000 utilisateurs payants, 1 M€ ARR.</w:t>
      </w:r>
    </w:p>
    <w:p>
      <w:pPr>
        <w:spacing w:after="120" w:line="320"/>
        <w:jc w:val="both"/>
      </w:pPr>
      <w:r>
        <w:rPr>
          <w:color w:val="2B2B2B"/>
          <w:sz w:val="22"/>
          <w:szCs w:val="22"/>
        </w:rPr>
        <w:t xml:space="preserve">Budget : 80–150 K€ selon profil interne/externalisé, plus une levée de fonds amorçage recommandée (200–400 K€) pour accélérer.</w:t>
      </w:r>
    </w:p>
    <w:p>
      <w:pPr>
        <w:pStyle w:val="Heading2"/>
        <w:spacing w:after="160" w:before="280"/>
      </w:pPr>
      <w:r>
        <w:rPr>
          <w:b/>
          <w:bCs/>
          <w:color w:val="1F2A44"/>
          <w:sz w:val="28"/>
          <w:szCs w:val="28"/>
        </w:rPr>
        <w:t xml:space="preserve">Phase 3 — Scale (mois 13–18)</w:t>
      </w:r>
    </w:p>
    <w:p>
      <w:pPr>
        <w:spacing w:after="120" w:line="320"/>
        <w:jc w:val="both"/>
      </w:pPr>
      <w:r>
        <w:rPr>
          <w:color w:val="2B2B2B"/>
          <w:sz w:val="22"/>
          <w:szCs w:val="22"/>
        </w:rPr>
        <w:t xml:space="preserve">Excellence opérationnelle, niches verticales spécialisées, expansion européenne.</w:t>
      </w:r>
    </w:p>
    <w:p>
      <w:pPr>
        <w:pStyle w:val="ListParagraph"/>
        <w:numPr>
          <w:ilvl w:val="0"/>
          <w:numId w:val="2"/>
        </w:numPr>
        <w:spacing w:after="80" w:line="300"/>
      </w:pPr>
      <w:r>
        <w:rPr>
          <w:color w:val="2B2B2B"/>
          <w:sz w:val="22"/>
          <w:szCs w:val="22"/>
        </w:rPr>
        <w:t xml:space="preserve">Vertical BTP profond (corpus de 500+ situations métier, partenariats fédérations).</w:t>
      </w:r>
    </w:p>
    <w:p>
      <w:pPr>
        <w:pStyle w:val="ListParagraph"/>
        <w:numPr>
          <w:ilvl w:val="0"/>
          <w:numId w:val="2"/>
        </w:numPr>
        <w:spacing w:after="80" w:line="300"/>
      </w:pPr>
      <w:r>
        <w:rPr>
          <w:color w:val="2B2B2B"/>
          <w:sz w:val="22"/>
          <w:szCs w:val="22"/>
        </w:rPr>
        <w:t xml:space="preserve">Niche industrie mécanique (persona Karim) en pilote.</w:t>
      </w:r>
    </w:p>
    <w:p>
      <w:pPr>
        <w:pStyle w:val="ListParagraph"/>
        <w:numPr>
          <w:ilvl w:val="0"/>
          <w:numId w:val="2"/>
        </w:numPr>
        <w:spacing w:after="80" w:line="300"/>
      </w:pPr>
      <w:r>
        <w:rPr>
          <w:color w:val="2B2B2B"/>
          <w:sz w:val="22"/>
          <w:szCs w:val="22"/>
        </w:rPr>
        <w:t xml:space="preserve">Profil atypique (niveau 4 détection).</w:t>
      </w:r>
    </w:p>
    <w:p>
      <w:pPr>
        <w:pStyle w:val="ListParagraph"/>
        <w:numPr>
          <w:ilvl w:val="0"/>
          <w:numId w:val="2"/>
        </w:numPr>
        <w:spacing w:after="80" w:line="300"/>
      </w:pPr>
      <w:r>
        <w:rPr>
          <w:color w:val="2B2B2B"/>
          <w:sz w:val="22"/>
          <w:szCs w:val="22"/>
        </w:rPr>
        <w:t xml:space="preserve">Expansion linguistique : espagnol, italien, allemand.</w:t>
      </w:r>
    </w:p>
    <w:p>
      <w:pPr>
        <w:pStyle w:val="ListParagraph"/>
        <w:numPr>
          <w:ilvl w:val="0"/>
          <w:numId w:val="2"/>
        </w:numPr>
        <w:spacing w:after="80" w:line="300"/>
      </w:pPr>
      <w:r>
        <w:rPr>
          <w:color w:val="2B2B2B"/>
          <w:sz w:val="22"/>
          <w:szCs w:val="22"/>
        </w:rPr>
        <w:t xml:space="preserve">API publique pour intégrateurs.</w:t>
      </w:r>
    </w:p>
    <w:p>
      <w:pPr>
        <w:pStyle w:val="ListParagraph"/>
        <w:numPr>
          <w:ilvl w:val="0"/>
          <w:numId w:val="2"/>
        </w:numPr>
        <w:spacing w:after="80" w:line="300"/>
      </w:pPr>
      <w:r>
        <w:rPr>
          <w:color w:val="2B2B2B"/>
          <w:sz w:val="22"/>
          <w:szCs w:val="22"/>
        </w:rPr>
        <w:t xml:space="preserve">Cible : 8 000 utilisateurs payants, 4 M€ ARR.</w:t>
      </w:r>
    </w:p>
    <w:p>
      <w:pPr>
        <w:pStyle w:val="Heading2"/>
        <w:spacing w:after="160" w:before="280"/>
      </w:pPr>
      <w:r>
        <w:rPr>
          <w:b/>
          <w:bCs/>
          <w:color w:val="1F2A44"/>
          <w:sz w:val="28"/>
          <w:szCs w:val="28"/>
        </w:rPr>
        <w:t xml:space="preserve">Phase 4 — Plateforme (mois 19–24)</w:t>
      </w:r>
    </w:p>
    <w:p>
      <w:pPr>
        <w:spacing w:after="120" w:line="320"/>
        <w:jc w:val="both"/>
      </w:pPr>
      <w:r>
        <w:rPr>
          <w:color w:val="2B2B2B"/>
          <w:sz w:val="22"/>
          <w:szCs w:val="22"/>
        </w:rPr>
        <w:t xml:space="preserve">De l'application au standard de marché. Communauté, hybride humain-IA.</w:t>
      </w:r>
    </w:p>
    <w:p>
      <w:pPr>
        <w:pStyle w:val="ListParagraph"/>
        <w:numPr>
          <w:ilvl w:val="0"/>
          <w:numId w:val="2"/>
        </w:numPr>
        <w:spacing w:after="80" w:line="300"/>
      </w:pPr>
      <w:r>
        <w:rPr>
          <w:color w:val="2B2B2B"/>
          <w:sz w:val="22"/>
          <w:szCs w:val="22"/>
        </w:rPr>
        <w:t xml:space="preserve">Communauté d'entrepreneurs avec mises en relation contextuelles via les agents.</w:t>
      </w:r>
    </w:p>
    <w:p>
      <w:pPr>
        <w:pStyle w:val="ListParagraph"/>
        <w:numPr>
          <w:ilvl w:val="0"/>
          <w:numId w:val="2"/>
        </w:numPr>
        <w:spacing w:after="80" w:line="300"/>
      </w:pPr>
      <w:r>
        <w:rPr>
          <w:color w:val="2B2B2B"/>
          <w:sz w:val="22"/>
          <w:szCs w:val="22"/>
        </w:rPr>
        <w:t xml:space="preserve">Mode coaching humain hybride premium (un humain real-time + Council).</w:t>
      </w:r>
    </w:p>
    <w:p>
      <w:pPr>
        <w:pStyle w:val="ListParagraph"/>
        <w:numPr>
          <w:ilvl w:val="0"/>
          <w:numId w:val="2"/>
        </w:numPr>
        <w:spacing w:after="80" w:line="300"/>
      </w:pPr>
      <w:r>
        <w:rPr>
          <w:color w:val="2B2B2B"/>
          <w:sz w:val="22"/>
          <w:szCs w:val="22"/>
        </w:rPr>
        <w:t xml:space="preserve">White-label pour banques, assureurs, fédérations.</w:t>
      </w:r>
    </w:p>
    <w:p>
      <w:pPr>
        <w:pStyle w:val="ListParagraph"/>
        <w:numPr>
          <w:ilvl w:val="0"/>
          <w:numId w:val="2"/>
        </w:numPr>
        <w:spacing w:after="80" w:line="300"/>
      </w:pPr>
      <w:r>
        <w:rPr>
          <w:color w:val="2B2B2B"/>
          <w:sz w:val="22"/>
          <w:szCs w:val="22"/>
        </w:rPr>
        <w:t xml:space="preserve">Cible : 22 000 utilisateurs payants, 12 M€ ARR.</w:t>
      </w:r>
    </w:p>
    <w:p>
      <w:r>
        <w:br w:type="page"/>
      </w:r>
    </w:p>
    <w:p>
      <w:pPr>
        <w:pStyle w:val="Heading1"/>
        <w:spacing w:after="200" w:before="360"/>
      </w:pPr>
      <w:r>
        <w:rPr>
          <w:b/>
          <w:bCs/>
          <w:color w:val="1F2A44"/>
          <w:sz w:val="36"/>
          <w:szCs w:val="36"/>
        </w:rPr>
        <w:t xml:space="preserve">Risques et contre-mesures</w:t>
      </w:r>
    </w:p>
    <w:p>
      <w:pPr>
        <w:spacing w:after="120" w:line="320"/>
        <w:jc w:val="both"/>
      </w:pPr>
      <w:r>
        <w:rPr>
          <w:color w:val="2B2B2B"/>
          <w:sz w:val="22"/>
          <w:szCs w:val="22"/>
        </w:rPr>
        <w:t xml:space="preserve">Six classes de risques sont identifiées. Chacune fait l'objet d'une contre-mesure intégrée dès le MVP, plutôt que d'être traitée en réaction.</w:t>
      </w:r>
    </w:p>
    <w:p>
      <w:pPr>
        <w:pStyle w:val="Heading2"/>
        <w:spacing w:after="160" w:before="280"/>
      </w:pPr>
      <w:r>
        <w:rPr>
          <w:b/>
          <w:bCs/>
          <w:color w:val="1F2A44"/>
          <w:sz w:val="28"/>
          <w:szCs w:val="28"/>
        </w:rPr>
        <w:t xml:space="preserve">R1 — Hallucination IA et conseil dangereux</w:t>
      </w:r>
    </w:p>
    <w:p>
      <w:pPr>
        <w:spacing w:after="120" w:line="320"/>
        <w:jc w:val="both"/>
      </w:pPr>
      <w:r>
        <w:rPr>
          <w:color w:val="2B2B2B"/>
          <w:sz w:val="22"/>
          <w:szCs w:val="22"/>
        </w:rPr>
        <w:t xml:space="preserve">Le risque le plus grave. Une IA donne un conseil financier ou juridique qui détruit l'entreprise de l'utilisateur. Pour Council 10 dont la promesse est précisément de conseiller, ce risque est central.</w:t>
      </w:r>
    </w:p>
    <w:p>
      <w:pPr>
        <w:spacing w:after="120" w:line="320"/>
        <w:jc w:val="both"/>
      </w:pPr>
      <w:r>
        <w:rPr>
          <w:color w:val="2B2B2B"/>
          <w:sz w:val="22"/>
          <w:szCs w:val="22"/>
        </w:rPr>
        <w:t xml:space="preserve">Contre-mesures à cinq niveaux : (1) Critique systématique sur toute décision à enjeu déclaré ou détecté ; (2) sources citées systématiquement quand le conseil est de nature factuelle ou réglementaire ; (3) disclaimers visibles sur les sujets juridiques, fiscaux et médicaux ; (4) escalade vers un expert humain au-delà d'un seuil financier (50 K€) ou sur sujets régulés ; (5) capture du feedback — rétroaction sur les conseils ayant produit un mauvais résultat intégrée dans l'amélioration des prompts.</w:t>
      </w:r>
    </w:p>
    <w:p>
      <w:pPr>
        <w:pStyle w:val="Heading2"/>
        <w:spacing w:after="160" w:before="280"/>
      </w:pPr>
      <w:r>
        <w:rPr>
          <w:b/>
          <w:bCs/>
          <w:color w:val="1F2A44"/>
          <w:sz w:val="28"/>
          <w:szCs w:val="28"/>
        </w:rPr>
        <w:t xml:space="preserve">R2 — Confidentialité et données business</w:t>
      </w:r>
    </w:p>
    <w:p>
      <w:pPr>
        <w:spacing w:after="120" w:line="320"/>
        <w:jc w:val="both"/>
      </w:pPr>
      <w:r>
        <w:rPr>
          <w:color w:val="2B2B2B"/>
          <w:sz w:val="22"/>
          <w:szCs w:val="22"/>
        </w:rPr>
        <w:t xml:space="preserve">Les utilisateurs partagent des données sensibles : trésorerie, conflits internes, négociations en cours. Une fuite serait fatale pour la réputation.</w:t>
      </w:r>
    </w:p>
    <w:p>
      <w:pPr>
        <w:spacing w:after="120" w:line="320"/>
        <w:jc w:val="both"/>
      </w:pPr>
      <w:r>
        <w:rPr>
          <w:color w:val="2B2B2B"/>
          <w:sz w:val="22"/>
          <w:szCs w:val="22"/>
        </w:rPr>
        <w:t xml:space="preserve">Contre-mesures : chiffrement de bout en bout sur les données au repos et en transit ; politique stricte de non-réutilisation des données utilisateur pour l'entraînement ; conformité RGPD avec hebergement Europe (OVHcloud, Scaleway) ; audit de sécurité extérieur dès la phase 2 ; option suppression complète des données à tout moment ; certification ISO 27001 visée en phase 4.</w:t>
      </w:r>
    </w:p>
    <w:p>
      <w:pPr>
        <w:pStyle w:val="Heading2"/>
        <w:spacing w:after="160" w:before="280"/>
      </w:pPr>
      <w:r>
        <w:rPr>
          <w:b/>
          <w:bCs/>
          <w:color w:val="1F2A44"/>
          <w:sz w:val="28"/>
          <w:szCs w:val="28"/>
        </w:rPr>
        <w:t xml:space="preserve">R3 — Dépendance LLM provider</w:t>
      </w:r>
    </w:p>
    <w:p>
      <w:pPr>
        <w:spacing w:after="120" w:line="320"/>
        <w:jc w:val="both"/>
      </w:pPr>
      <w:r>
        <w:rPr>
          <w:color w:val="2B2B2B"/>
          <w:sz w:val="22"/>
          <w:szCs w:val="22"/>
        </w:rPr>
        <w:t xml:space="preserve">Si un seul fournisseur (Anthropic ou OpenAI) augmente brutalement ses prix, change ses CGU, ou subit une panne, l'application est arrêtée.</w:t>
      </w:r>
    </w:p>
    <w:p>
      <w:pPr>
        <w:spacing w:after="120" w:line="320"/>
        <w:jc w:val="both"/>
      </w:pPr>
      <w:r>
        <w:rPr>
          <w:color w:val="2B2B2B"/>
          <w:sz w:val="22"/>
          <w:szCs w:val="22"/>
        </w:rPr>
        <w:t xml:space="preserve">Contre-mesures : architecture multi-LLM (au minimum Anthropic et OpenAI) avec routage transparent ; modèle local fine-tuné déployé à partir du mois 12 pour les requêtes les plus simples (40 % du trafic) ; cache vectoriel intensif ; capacité de basculé mode dégradé (un seul agent) en cas de panne.</w:t>
      </w:r>
    </w:p>
    <w:p>
      <w:pPr>
        <w:pStyle w:val="Heading2"/>
        <w:spacing w:after="160" w:before="280"/>
      </w:pPr>
      <w:r>
        <w:rPr>
          <w:b/>
          <w:bCs/>
          <w:color w:val="1F2A44"/>
          <w:sz w:val="28"/>
          <w:szCs w:val="28"/>
        </w:rPr>
        <w:t xml:space="preserve">R4 — Engagement et rétention</w:t>
      </w:r>
    </w:p>
    <w:p>
      <w:pPr>
        <w:spacing w:after="120" w:line="320"/>
        <w:jc w:val="both"/>
      </w:pPr>
      <w:r>
        <w:rPr>
          <w:color w:val="2B2B2B"/>
          <w:sz w:val="22"/>
          <w:szCs w:val="22"/>
        </w:rPr>
        <w:t xml:space="preserve">Si la rétention M3 reste sous 20 %, le modèle économique ne tient pas. Le risque est réel — toutes les apps de productivité luttent contre l'attrition.</w:t>
      </w:r>
    </w:p>
    <w:p>
      <w:pPr>
        <w:spacing w:after="120" w:line="320"/>
        <w:jc w:val="both"/>
      </w:pPr>
      <w:r>
        <w:rPr>
          <w:color w:val="2B2B2B"/>
          <w:sz w:val="22"/>
          <w:szCs w:val="22"/>
        </w:rPr>
        <w:t xml:space="preserve">Contre-mesures : boucle d'habitude pensée dès le jour 1 (rituel matinal, notifications contextuelles, streaks) ; suivi systématique des résultats des conseils — c'est la seule façon de prouver la valeur ; « win moment » obligatoire dans les 7 premiers jours (un conseil qui produit un résultat tangible) ; analyse continue des cohortes et itération acharnée.</w:t>
      </w:r>
    </w:p>
    <w:p>
      <w:pPr>
        <w:pStyle w:val="Heading2"/>
        <w:spacing w:after="160" w:before="280"/>
      </w:pPr>
      <w:r>
        <w:rPr>
          <w:b/>
          <w:bCs/>
          <w:color w:val="1F2A44"/>
          <w:sz w:val="28"/>
          <w:szCs w:val="28"/>
        </w:rPr>
        <w:t xml:space="preserve">R5 — Concurrence par OpenAI ou Anthropic en direct</w:t>
      </w:r>
    </w:p>
    <w:p>
      <w:pPr>
        <w:spacing w:after="120" w:line="320"/>
        <w:jc w:val="both"/>
      </w:pPr>
      <w:r>
        <w:rPr>
          <w:color w:val="2B2B2B"/>
          <w:sz w:val="22"/>
          <w:szCs w:val="22"/>
        </w:rPr>
        <w:t xml:space="preserve">Si OpenAI lance « GPT for Entrepreneurs » avec une expérience superieure, la différenciation s'effrite.</w:t>
      </w:r>
    </w:p>
    <w:p>
      <w:pPr>
        <w:spacing w:after="120" w:line="320"/>
        <w:jc w:val="both"/>
      </w:pPr>
      <w:r>
        <w:rPr>
          <w:color w:val="2B2B2B"/>
          <w:sz w:val="22"/>
          <w:szCs w:val="22"/>
        </w:rPr>
        <w:t xml:space="preserve">Contre-mesures : la barrière n'est pas la techno IA — c'est l'orchestration des dix agents, le profil personnel, la vertical BTP, la marketplace experts. Ces éléments demandent 18–24 mois à reproduire. Stratégie d'accélération : déposé des marques, partenariats exclusifs avec fédérations BTP, captation rapide des 5 premières mille utilisateurs payants comme moat.</w:t>
      </w:r>
    </w:p>
    <w:p>
      <w:pPr>
        <w:pStyle w:val="Heading2"/>
        <w:spacing w:after="160" w:before="280"/>
      </w:pPr>
      <w:r>
        <w:rPr>
          <w:b/>
          <w:bCs/>
          <w:color w:val="1F2A44"/>
          <w:sz w:val="28"/>
          <w:szCs w:val="28"/>
        </w:rPr>
        <w:t xml:space="preserve">R6 — Difficulté d'exécution pour un fondateur non-technique</w:t>
      </w:r>
    </w:p>
    <w:p>
      <w:pPr>
        <w:spacing w:after="120" w:line="320"/>
        <w:jc w:val="both"/>
      </w:pPr>
      <w:r>
        <w:rPr>
          <w:color w:val="2B2B2B"/>
          <w:sz w:val="22"/>
          <w:szCs w:val="22"/>
        </w:rPr>
        <w:t xml:space="preserve">Le fondateur (Constantin) n'est pas développeur. Le risque est réel : sous-estimation de la complexité, dépendance à un CTO encore non recruté, dérive budgetaire.</w:t>
      </w:r>
    </w:p>
    <w:p>
      <w:pPr>
        <w:spacing w:after="120" w:line="320"/>
        <w:jc w:val="both"/>
      </w:pPr>
      <w:r>
        <w:rPr>
          <w:color w:val="2B2B2B"/>
          <w:sz w:val="22"/>
          <w:szCs w:val="22"/>
        </w:rPr>
        <w:t xml:space="preserve">Contre-mesures : recrutement prioritaire d'un CTO co-fondateur dès la phase 1 (cession de 15–25 % du capital contre 18 mois d'engagement plein temps) ; en attendant, externalisation chez une agence spécialisée IA avec contrat de transfert de connaissance ; investissement personnel du fondateur dans la formation IA (en cours), pour piloter et juger la qualité ; paralléliser autant que possible avec les autres activités du fondateur (CSR Energies + holding C-R-Y-S) pour ne pas mettre tout le capital sur ce seul projet.</w:t>
      </w:r>
    </w:p>
    <w:p>
      <w:r>
        <w:br w:type="page"/>
      </w:r>
    </w:p>
    <w:p>
      <w:pPr>
        <w:pStyle w:val="Heading1"/>
        <w:spacing w:after="200" w:before="360"/>
      </w:pPr>
      <w:r>
        <w:rPr>
          <w:b/>
          <w:bCs/>
          <w:color w:val="1F2A44"/>
          <w:sz w:val="36"/>
          <w:szCs w:val="36"/>
        </w:rPr>
        <w:t xml:space="preserve">Indicateurs de succès (KPIs)</w:t>
      </w:r>
    </w:p>
    <w:p>
      <w:pPr>
        <w:spacing w:after="120" w:line="320"/>
        <w:jc w:val="both"/>
      </w:pPr>
      <w:r>
        <w:rPr>
          <w:color w:val="2B2B2B"/>
          <w:sz w:val="22"/>
          <w:szCs w:val="22"/>
        </w:rPr>
        <w:t xml:space="preserve">Quatre familles d'indicateurs structurent le pilotage. Chaque famille a un indicateur principal (north star) et trois indicateurs secondaires. Mesurés mensuellement à partir du mois 4, hebdomadairement à partir du mois 7.</w:t>
      </w:r>
    </w:p>
    <w:p>
      <w:pPr>
        <w:pStyle w:val="Heading2"/>
        <w:spacing w:after="160" w:before="280"/>
      </w:pPr>
      <w:r>
        <w:rPr>
          <w:b/>
          <w:bCs/>
          <w:color w:val="1F2A44"/>
          <w:sz w:val="28"/>
          <w:szCs w:val="28"/>
        </w:rPr>
        <w:t xml:space="preserve">Famille 1 — Acquisition</w:t>
      </w:r>
    </w:p>
    <w:p>
      <w:pPr>
        <w:pStyle w:val="ListParagraph"/>
        <w:numPr>
          <w:ilvl w:val="0"/>
          <w:numId w:val="2"/>
        </w:numPr>
        <w:spacing w:after="80" w:line="300"/>
      </w:pPr>
      <w:r>
        <w:rPr>
          <w:b/>
          <w:bCs/>
          <w:color w:val="1F2A44"/>
          <w:sz w:val="22"/>
          <w:szCs w:val="22"/>
        </w:rPr>
        <w:t xml:space="preserve">North star : </w:t>
      </w:r>
      <w:r>
        <w:rPr>
          <w:color w:val="2B2B2B"/>
          <w:sz w:val="22"/>
          <w:szCs w:val="22"/>
        </w:rPr>
        <w:t xml:space="preserve"> coût d'acquisition (CAC) &lt; 60 € en phase 1, &lt; 100 € en phase 2.</w:t>
      </w:r>
    </w:p>
    <w:p>
      <w:pPr>
        <w:pStyle w:val="ListParagraph"/>
        <w:numPr>
          <w:ilvl w:val="0"/>
          <w:numId w:val="2"/>
        </w:numPr>
        <w:spacing w:after="80" w:line="300"/>
      </w:pPr>
      <w:r>
        <w:rPr>
          <w:color w:val="2B2B2B"/>
          <w:sz w:val="22"/>
          <w:szCs w:val="22"/>
        </w:rPr>
        <w:t xml:space="preserve">Visiteurs uniques landing par mois.</w:t>
      </w:r>
    </w:p>
    <w:p>
      <w:pPr>
        <w:pStyle w:val="ListParagraph"/>
        <w:numPr>
          <w:ilvl w:val="0"/>
          <w:numId w:val="2"/>
        </w:numPr>
        <w:spacing w:after="80" w:line="300"/>
      </w:pPr>
      <w:r>
        <w:rPr>
          <w:color w:val="2B2B2B"/>
          <w:sz w:val="22"/>
          <w:szCs w:val="22"/>
        </w:rPr>
        <w:t xml:space="preserve">Taux de conversion landing → inscription gratuit (cible 8 %).</w:t>
      </w:r>
    </w:p>
    <w:p>
      <w:pPr>
        <w:pStyle w:val="ListParagraph"/>
        <w:numPr>
          <w:ilvl w:val="0"/>
          <w:numId w:val="2"/>
        </w:numPr>
        <w:spacing w:after="80" w:line="300"/>
      </w:pPr>
      <w:r>
        <w:rPr>
          <w:color w:val="2B2B2B"/>
          <w:sz w:val="22"/>
          <w:szCs w:val="22"/>
        </w:rPr>
        <w:t xml:space="preserve">Sources d'acquisition : organique vs SEA vs réseaux sociaux vs référence.</w:t>
      </w:r>
    </w:p>
    <w:p>
      <w:pPr>
        <w:pStyle w:val="Heading2"/>
        <w:spacing w:after="160" w:before="280"/>
      </w:pPr>
      <w:r>
        <w:rPr>
          <w:b/>
          <w:bCs/>
          <w:color w:val="1F2A44"/>
          <w:sz w:val="28"/>
          <w:szCs w:val="28"/>
        </w:rPr>
        <w:t xml:space="preserve">Famille 2 — Engagement</w:t>
      </w:r>
    </w:p>
    <w:p>
      <w:pPr>
        <w:pStyle w:val="ListParagraph"/>
        <w:numPr>
          <w:ilvl w:val="0"/>
          <w:numId w:val="2"/>
        </w:numPr>
        <w:spacing w:after="80" w:line="300"/>
      </w:pPr>
      <w:r>
        <w:rPr>
          <w:b/>
          <w:bCs/>
          <w:color w:val="1F2A44"/>
          <w:sz w:val="22"/>
          <w:szCs w:val="22"/>
        </w:rPr>
        <w:t xml:space="preserve">North star : </w:t>
      </w:r>
      <w:r>
        <w:rPr>
          <w:color w:val="2B2B2B"/>
          <w:sz w:val="22"/>
          <w:szCs w:val="22"/>
        </w:rPr>
        <w:t xml:space="preserve"> DAU/MAU &gt; 50 % à partir de la phase 2 (l'utilisateur revient en moyenne plus d'un jour sur deux).</w:t>
      </w:r>
    </w:p>
    <w:p>
      <w:pPr>
        <w:pStyle w:val="ListParagraph"/>
        <w:numPr>
          <w:ilvl w:val="0"/>
          <w:numId w:val="2"/>
        </w:numPr>
        <w:spacing w:after="80" w:line="300"/>
      </w:pPr>
      <w:r>
        <w:rPr>
          <w:color w:val="2B2B2B"/>
          <w:sz w:val="22"/>
          <w:szCs w:val="22"/>
        </w:rPr>
        <w:t xml:space="preserve">Sessions par utilisateur actif par jour (cible 1,8).</w:t>
      </w:r>
    </w:p>
    <w:p>
      <w:pPr>
        <w:pStyle w:val="ListParagraph"/>
        <w:numPr>
          <w:ilvl w:val="0"/>
          <w:numId w:val="2"/>
        </w:numPr>
        <w:spacing w:after="80" w:line="300"/>
      </w:pPr>
      <w:r>
        <w:rPr>
          <w:color w:val="2B2B2B"/>
          <w:sz w:val="22"/>
          <w:szCs w:val="22"/>
        </w:rPr>
        <w:t xml:space="preserve">Durée moyenne de session (cible 4–7 minutes — court par définition).</w:t>
      </w:r>
    </w:p>
    <w:p>
      <w:pPr>
        <w:pStyle w:val="ListParagraph"/>
        <w:numPr>
          <w:ilvl w:val="0"/>
          <w:numId w:val="2"/>
        </w:numPr>
        <w:spacing w:after="80" w:line="300"/>
      </w:pPr>
      <w:r>
        <w:rPr>
          <w:color w:val="2B2B2B"/>
          <w:sz w:val="22"/>
          <w:szCs w:val="22"/>
        </w:rPr>
        <w:t xml:space="preserve">Taux de lecture du brief matinal (cible 65 %).</w:t>
      </w:r>
    </w:p>
    <w:p>
      <w:pPr>
        <w:pStyle w:val="Heading2"/>
        <w:spacing w:after="160" w:before="280"/>
      </w:pPr>
      <w:r>
        <w:rPr>
          <w:b/>
          <w:bCs/>
          <w:color w:val="1F2A44"/>
          <w:sz w:val="28"/>
          <w:szCs w:val="28"/>
        </w:rPr>
        <w:t xml:space="preserve">Famille 3 — Rétention</w:t>
      </w:r>
    </w:p>
    <w:p>
      <w:pPr>
        <w:pStyle w:val="ListParagraph"/>
        <w:numPr>
          <w:ilvl w:val="0"/>
          <w:numId w:val="2"/>
        </w:numPr>
        <w:spacing w:after="80" w:line="300"/>
      </w:pPr>
      <w:r>
        <w:rPr>
          <w:b/>
          <w:bCs/>
          <w:color w:val="1F2A44"/>
          <w:sz w:val="22"/>
          <w:szCs w:val="22"/>
        </w:rPr>
        <w:t xml:space="preserve">North star : </w:t>
      </w:r>
      <w:r>
        <w:rPr>
          <w:color w:val="2B2B2B"/>
          <w:sz w:val="22"/>
          <w:szCs w:val="22"/>
        </w:rPr>
        <w:t xml:space="preserve"> rétention M3 &gt; 25 %, M6 &gt; 15 %.</w:t>
      </w:r>
    </w:p>
    <w:p>
      <w:pPr>
        <w:pStyle w:val="ListParagraph"/>
        <w:numPr>
          <w:ilvl w:val="0"/>
          <w:numId w:val="2"/>
        </w:numPr>
        <w:spacing w:after="80" w:line="300"/>
      </w:pPr>
      <w:r>
        <w:rPr>
          <w:color w:val="2B2B2B"/>
          <w:sz w:val="22"/>
          <w:szCs w:val="22"/>
        </w:rPr>
        <w:t xml:space="preserve">Rétention J7 (cible 50 %), J30 (cible 30 %).</w:t>
      </w:r>
    </w:p>
    <w:p>
      <w:pPr>
        <w:pStyle w:val="ListParagraph"/>
        <w:numPr>
          <w:ilvl w:val="0"/>
          <w:numId w:val="2"/>
        </w:numPr>
        <w:spacing w:after="80" w:line="300"/>
      </w:pPr>
      <w:r>
        <w:rPr>
          <w:color w:val="2B2B2B"/>
          <w:sz w:val="22"/>
          <w:szCs w:val="22"/>
        </w:rPr>
        <w:t xml:space="preserve">Churn payant mensuel (cible &lt; 5 %).</w:t>
      </w:r>
    </w:p>
    <w:p>
      <w:pPr>
        <w:pStyle w:val="ListParagraph"/>
        <w:numPr>
          <w:ilvl w:val="0"/>
          <w:numId w:val="2"/>
        </w:numPr>
        <w:spacing w:after="80" w:line="300"/>
      </w:pPr>
      <w:r>
        <w:rPr>
          <w:color w:val="2B2B2B"/>
          <w:sz w:val="22"/>
          <w:szCs w:val="22"/>
        </w:rPr>
        <w:t xml:space="preserve">Taux de upgrade Pro → Premium dans les 6 mois (cible 25 %).</w:t>
      </w:r>
    </w:p>
    <w:p>
      <w:pPr>
        <w:pStyle w:val="Heading2"/>
        <w:spacing w:after="160" w:before="280"/>
      </w:pPr>
      <w:r>
        <w:rPr>
          <w:b/>
          <w:bCs/>
          <w:color w:val="1F2A44"/>
          <w:sz w:val="28"/>
          <w:szCs w:val="28"/>
        </w:rPr>
        <w:t xml:space="preserve">Famille 4 — Qualité du conseil</w:t>
      </w:r>
    </w:p>
    <w:p>
      <w:pPr>
        <w:pStyle w:val="ListParagraph"/>
        <w:numPr>
          <w:ilvl w:val="0"/>
          <w:numId w:val="2"/>
        </w:numPr>
        <w:spacing w:after="80" w:line="300"/>
      </w:pPr>
      <w:r>
        <w:rPr>
          <w:b/>
          <w:bCs/>
          <w:color w:val="1F2A44"/>
          <w:sz w:val="22"/>
          <w:szCs w:val="22"/>
        </w:rPr>
        <w:t xml:space="preserve">North star : </w:t>
      </w:r>
      <w:r>
        <w:rPr>
          <w:color w:val="2B2B2B"/>
          <w:sz w:val="22"/>
          <w:szCs w:val="22"/>
        </w:rPr>
        <w:t xml:space="preserve"> % conseils suivis * % conseils ayant produit le résultat attendu &gt; 50 %.</w:t>
      </w:r>
    </w:p>
    <w:p>
      <w:pPr>
        <w:pStyle w:val="ListParagraph"/>
        <w:numPr>
          <w:ilvl w:val="0"/>
          <w:numId w:val="2"/>
        </w:numPr>
        <w:spacing w:after="80" w:line="300"/>
      </w:pPr>
      <w:r>
        <w:rPr>
          <w:color w:val="2B2B2B"/>
          <w:sz w:val="22"/>
          <w:szCs w:val="22"/>
        </w:rPr>
        <w:t xml:space="preserve">Taux de pouce vert/pouce rouge sur chaque réponse agent.</w:t>
      </w:r>
    </w:p>
    <w:p>
      <w:pPr>
        <w:pStyle w:val="ListParagraph"/>
        <w:numPr>
          <w:ilvl w:val="0"/>
          <w:numId w:val="2"/>
        </w:numPr>
        <w:spacing w:after="80" w:line="300"/>
      </w:pPr>
      <w:r>
        <w:rPr>
          <w:color w:val="2B2B2B"/>
          <w:sz w:val="22"/>
          <w:szCs w:val="22"/>
        </w:rPr>
        <w:t xml:space="preserve">NPS trimestriel (cible &gt; 50).</w:t>
      </w:r>
    </w:p>
    <w:p>
      <w:pPr>
        <w:pStyle w:val="ListParagraph"/>
        <w:numPr>
          <w:ilvl w:val="0"/>
          <w:numId w:val="2"/>
        </w:numPr>
        <w:spacing w:after="80" w:line="300"/>
      </w:pPr>
      <w:r>
        <w:rPr>
          <w:color w:val="2B2B2B"/>
          <w:sz w:val="22"/>
          <w:szCs w:val="22"/>
        </w:rPr>
        <w:t xml:space="preserve">ROI déclaré par les utilisateurs payants à 6 mois (cible : 5× le coût de l'abonnement).</w:t>
      </w:r>
    </w:p>
    <w:p>
      <w:r>
        <w:br w:type="page"/>
      </w:r>
    </w:p>
    <w:p>
      <w:pPr>
        <w:pStyle w:val="Heading1"/>
        <w:spacing w:after="200" w:before="360"/>
      </w:pPr>
      <w:r>
        <w:rPr>
          <w:b/>
          <w:bCs/>
          <w:color w:val="1F2A44"/>
          <w:sz w:val="36"/>
          <w:szCs w:val="36"/>
        </w:rPr>
        <w:t xml:space="preserve">Conclusion et appel à l'action</w:t>
      </w:r>
    </w:p>
    <w:p>
      <w:pPr>
        <w:spacing w:after="120" w:line="320"/>
        <w:jc w:val="both"/>
      </w:pPr>
      <w:r>
        <w:rPr>
          <w:color w:val="2B2B2B"/>
          <w:sz w:val="22"/>
          <w:szCs w:val="22"/>
        </w:rPr>
        <w:t xml:space="preserve">Council 10 répond à un besoin réel, sur un marché mature, avec une fenêtre de tir limitée mais ouverte. La technologie est là. Les utilisateurs sont prêts. Les concurrents directs n'existent pas encore.</w:t>
      </w:r>
    </w:p>
    <w:p>
      <w:pPr>
        <w:spacing w:after="120" w:line="320"/>
        <w:jc w:val="both"/>
      </w:pPr>
      <w:r>
        <w:rPr>
          <w:color w:val="2B2B2B"/>
          <w:sz w:val="22"/>
          <w:szCs w:val="22"/>
        </w:rPr>
        <w:t xml:space="preserve">Trois facteurs feront la différence entre un projet qui change le quotidien d'un million d'entrepreneurs européens et un projet qui ne dépasse pas le millier d'utilisateurs.</w:t>
      </w:r>
    </w:p>
    <w:p>
      <w:pPr>
        <w:pStyle w:val="ListParagraph"/>
        <w:numPr>
          <w:ilvl w:val="0"/>
          <w:numId w:val="2"/>
        </w:numPr>
        <w:spacing w:after="80" w:line="300"/>
      </w:pPr>
      <w:r>
        <w:rPr>
          <w:b/>
          <w:bCs/>
          <w:color w:val="1F2A44"/>
          <w:sz w:val="22"/>
          <w:szCs w:val="22"/>
        </w:rPr>
        <w:t xml:space="preserve">Premier facteur : la qualité du profilage humain. </w:t>
      </w:r>
      <w:r>
        <w:rPr>
          <w:color w:val="2B2B2B"/>
          <w:sz w:val="22"/>
          <w:szCs w:val="22"/>
        </w:rPr>
        <w:t xml:space="preserve"> C'est ce qui rend l'application irremplaçable. Si elle parle à chaque utilisateur dans son rythme, elle devient un compagnon. Sinon, elle reste un outil. Les niveaux 3 et 4 de détection sont prioritaires dès la V1.</w:t>
      </w:r>
    </w:p>
    <w:p>
      <w:pPr>
        <w:pStyle w:val="ListParagraph"/>
        <w:numPr>
          <w:ilvl w:val="0"/>
          <w:numId w:val="2"/>
        </w:numPr>
        <w:spacing w:after="80" w:line="300"/>
      </w:pPr>
      <w:r>
        <w:rPr>
          <w:b/>
          <w:bCs/>
          <w:color w:val="1F2A44"/>
          <w:sz w:val="22"/>
          <w:szCs w:val="22"/>
        </w:rPr>
        <w:t xml:space="preserve">Deuxième facteur : la discipline d'engagement. </w:t>
      </w:r>
      <w:r>
        <w:rPr>
          <w:color w:val="2B2B2B"/>
          <w:sz w:val="22"/>
          <w:szCs w:val="22"/>
        </w:rPr>
        <w:t xml:space="preserve"> Pas de notifications inutiles, pas de gamification creuse, pas de friction artificielle. Chaque rituel doit produire de la valeur réelle. Le brief matinal est l'épreuve de vérité.</w:t>
      </w:r>
    </w:p>
    <w:p>
      <w:pPr>
        <w:pStyle w:val="ListParagraph"/>
        <w:numPr>
          <w:ilvl w:val="0"/>
          <w:numId w:val="2"/>
        </w:numPr>
        <w:spacing w:after="80" w:line="300"/>
      </w:pPr>
      <w:r>
        <w:rPr>
          <w:b/>
          <w:bCs/>
          <w:color w:val="1F2A44"/>
          <w:sz w:val="22"/>
          <w:szCs w:val="22"/>
        </w:rPr>
        <w:t xml:space="preserve">Troisième facteur : la verticalisation initiale. </w:t>
      </w:r>
      <w:r>
        <w:rPr>
          <w:color w:val="2B2B2B"/>
          <w:sz w:val="22"/>
          <w:szCs w:val="22"/>
        </w:rPr>
        <w:t xml:space="preserve"> Le BTP est le terrain de validation idéal pour Constantin — marché connu, langue métier maîtrisée, partenariats fédérations possibles. La généralisation aux autres secteurs viendra naturellement à partir du moment où la qualité du conseil est validée.</w:t>
      </w:r>
    </w:p>
    <w:p>
      <w:pPr>
        <w:pStyle w:val="Heading2"/>
        <w:spacing w:after="160" w:before="280"/>
      </w:pPr>
      <w:r>
        <w:rPr>
          <w:b/>
          <w:bCs/>
          <w:color w:val="1F2A44"/>
          <w:sz w:val="28"/>
          <w:szCs w:val="28"/>
        </w:rPr>
        <w:t xml:space="preserve">Premiers pas concrets cette semaine</w:t>
      </w:r>
    </w:p>
    <w:p>
      <w:pPr>
        <w:spacing w:after="120" w:line="320"/>
        <w:jc w:val="both"/>
      </w:pPr>
      <w:r>
        <w:rPr>
          <w:color w:val="2B2B2B"/>
          <w:sz w:val="22"/>
          <w:szCs w:val="22"/>
        </w:rPr>
        <w:t xml:space="preserve">Le document stratégique reste lettre morte sans première action. Voici les cinq actions à lancer dans les 7 jours.</w:t>
      </w:r>
    </w:p>
    <w:p>
      <w:pPr>
        <w:pStyle w:val="ListParagraph"/>
        <w:numPr>
          <w:ilvl w:val="0"/>
          <w:numId w:val="2"/>
        </w:numPr>
        <w:spacing w:after="80" w:line="300"/>
      </w:pPr>
      <w:r>
        <w:rPr>
          <w:b/>
          <w:bCs/>
          <w:color w:val="1F2A44"/>
          <w:sz w:val="22"/>
          <w:szCs w:val="22"/>
        </w:rPr>
        <w:t xml:space="preserve">Action 1. </w:t>
      </w:r>
      <w:r>
        <w:rPr>
          <w:color w:val="2B2B2B"/>
          <w:sz w:val="22"/>
          <w:szCs w:val="22"/>
        </w:rPr>
        <w:t xml:space="preserve"> Tester le prototype cliquable produit dans cette session avec 5 entrepreneurs de votre réseau, dont 2 BTP. Question : « l'utiliseriez-vous quotidiennement ? combien seriez-vous prêt à payer ? ».</w:t>
      </w:r>
    </w:p>
    <w:p>
      <w:pPr>
        <w:pStyle w:val="ListParagraph"/>
        <w:numPr>
          <w:ilvl w:val="0"/>
          <w:numId w:val="2"/>
        </w:numPr>
        <w:spacing w:after="80" w:line="300"/>
      </w:pPr>
      <w:r>
        <w:rPr>
          <w:b/>
          <w:bCs/>
          <w:color w:val="1F2A44"/>
          <w:sz w:val="22"/>
          <w:szCs w:val="22"/>
        </w:rPr>
        <w:t xml:space="preserve">Action 2. </w:t>
      </w:r>
      <w:r>
        <w:rPr>
          <w:color w:val="2B2B2B"/>
          <w:sz w:val="22"/>
          <w:szCs w:val="22"/>
        </w:rPr>
        <w:t xml:space="preserve"> Rédiger une landing page simple (Notion ou Carrd), capturer 100 emails intéressés en 30 jours via LinkedIn et réseaux artisans.</w:t>
      </w:r>
    </w:p>
    <w:p>
      <w:pPr>
        <w:pStyle w:val="ListParagraph"/>
        <w:numPr>
          <w:ilvl w:val="0"/>
          <w:numId w:val="2"/>
        </w:numPr>
        <w:spacing w:after="80" w:line="300"/>
      </w:pPr>
      <w:r>
        <w:rPr>
          <w:b/>
          <w:bCs/>
          <w:color w:val="1F2A44"/>
          <w:sz w:val="22"/>
          <w:szCs w:val="22"/>
        </w:rPr>
        <w:t xml:space="preserve">Action 3. </w:t>
      </w:r>
      <w:r>
        <w:rPr>
          <w:color w:val="2B2B2B"/>
          <w:sz w:val="22"/>
          <w:szCs w:val="22"/>
        </w:rPr>
        <w:t xml:space="preserve"> Estimer le budget MVP en obtenant 3 devis auprès d'agences spécialisées IA (Hugging Face Partners, agences françaises spécialisées).</w:t>
      </w:r>
    </w:p>
    <w:p>
      <w:pPr>
        <w:pStyle w:val="ListParagraph"/>
        <w:numPr>
          <w:ilvl w:val="0"/>
          <w:numId w:val="2"/>
        </w:numPr>
        <w:spacing w:after="80" w:line="300"/>
      </w:pPr>
      <w:r>
        <w:rPr>
          <w:b/>
          <w:bCs/>
          <w:color w:val="1F2A44"/>
          <w:sz w:val="22"/>
          <w:szCs w:val="22"/>
        </w:rPr>
        <w:t xml:space="preserve">Action 4. </w:t>
      </w:r>
      <w:r>
        <w:rPr>
          <w:color w:val="2B2B2B"/>
          <w:sz w:val="22"/>
          <w:szCs w:val="22"/>
        </w:rPr>
        <w:t xml:space="preserve"> Identifier le profil idéal de CTO co-fondateur. Profils types : ingénieur IA + 5–7 ans d'expérience produit, appétence entrepreneuriale, capacité à prendre 18 mois de risque. Networks : LinkedIn, Station F, Le Wagon, Ellis.</w:t>
      </w:r>
    </w:p>
    <w:p>
      <w:pPr>
        <w:pStyle w:val="ListParagraph"/>
        <w:numPr>
          <w:ilvl w:val="0"/>
          <w:numId w:val="2"/>
        </w:numPr>
        <w:spacing w:after="80" w:line="300"/>
      </w:pPr>
      <w:r>
        <w:rPr>
          <w:b/>
          <w:bCs/>
          <w:color w:val="1F2A44"/>
          <w:sz w:val="22"/>
          <w:szCs w:val="22"/>
        </w:rPr>
        <w:t xml:space="preserve">Action 5. </w:t>
      </w:r>
      <w:r>
        <w:rPr>
          <w:color w:val="2B2B2B"/>
          <w:sz w:val="22"/>
          <w:szCs w:val="22"/>
        </w:rPr>
        <w:t xml:space="preserve"> Si la traction des 30 premiers jours est là (50+ emails capturés, 5+ entretiens enthousiastes), lancer la phase 1 du MVP. Sinon, itérer le pitch.</w:t>
      </w:r>
    </w:p>
    <w:p>
      <w:r>
        <w:rPr>
          <w:sz w:val="16"/>
          <w:szCs w:val="16"/>
        </w:rPr>
        <w:t xml:space="preserve"> </w:t>
      </w:r>
    </w:p>
    <w:p>
      <w:pPr>
        <w:pBdr>
          <w:bottom w:val="single" w:color="D4A574" w:sz="8" w:space="1"/>
        </w:pBdr>
        <w:spacing w:after="200" w:before="120"/>
      </w:pPr>
      <w:r>
        <w:t xml:space="preserve"/>
      </w:r>
    </w:p>
    <w:p>
      <w:pPr>
        <w:spacing w:after="200" w:before="200"/>
        <w:ind w:left="720" w:right="720"/>
        <w:jc w:val="center"/>
      </w:pPr>
      <w:r>
        <w:rPr>
          <w:i/>
          <w:iCs/>
          <w:color w:val="D4A574"/>
          <w:sz w:val="24"/>
          <w:szCs w:val="24"/>
        </w:rPr>
        <w:t xml:space="preserve">“Le meilleur moment pour planter un arbre etait il y a vingt ans. Le second meilleur moment est maintenant.”</w:t>
      </w:r>
    </w:p>
    <w:p>
      <w:r>
        <w:rPr>
          <w:sz w:val="16"/>
          <w:szCs w:val="16"/>
        </w:rPr>
        <w:t xml:space="preserve"> </w:t>
      </w:r>
    </w:p>
    <w:p>
      <w:r>
        <w:rPr>
          <w:sz w:val="16"/>
          <w:szCs w:val="16"/>
        </w:rPr>
        <w:t xml:space="preserve"> </w:t>
      </w:r>
    </w:p>
    <w:sectPr>
      <w:headerReference w:type="default" r:id="rId7"/>
      <w:footerReference w:type="default" r:id="rId8"/>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6B7280"/>
        <w:sz w:val="18"/>
        <w:szCs w:val="18"/>
      </w:rPr>
      <w:t xml:space="preserve">Page </w:t>
    </w:r>
    <w:r>
      <w:rPr>
        <w:color w:val="6B7280"/>
        <w:sz w:val="18"/>
        <w:szCs w:val="18"/>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i/>
        <w:iCs/>
        <w:color w:val="6B7280"/>
        <w:sz w:val="18"/>
        <w:szCs w:val="18"/>
      </w:rPr>
      <w:t xml:space="preserve">Council 10 · Document strategique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Calibri" w:cs="Calibri" w:eastAsia="Calibri" w:hAnsi="Calibri"/>
      <w:b/>
      <w:bCs/>
      <w:color w:val="1F2A44"/>
      <w:sz w:val="36"/>
      <w:szCs w:val="36"/>
    </w:rPr>
  </w:style>
  <w:style w:type="paragraph" w:styleId="Heading2">
    <w:name w:val="Heading 2"/>
    <w:basedOn w:val="Normal"/>
    <w:next w:val="Normal"/>
    <w:qFormat/>
    <w:pPr>
      <w:spacing w:after="160" w:before="280"/>
      <w:outlineLvl w:val="1"/>
    </w:pPr>
    <w:rPr>
      <w:rFonts w:ascii="Calibri" w:cs="Calibri" w:eastAsia="Calibri" w:hAnsi="Calibri"/>
      <w:b/>
      <w:bCs/>
      <w:color w:val="1F2A44"/>
      <w:sz w:val="28"/>
      <w:szCs w:val="28"/>
    </w:rPr>
  </w:style>
  <w:style w:type="paragraph" w:styleId="Heading3">
    <w:name w:val="Heading 3"/>
    <w:basedOn w:val="Normal"/>
    <w:next w:val="Normal"/>
    <w:qFormat/>
    <w:pPr>
      <w:spacing w:after="120" w:before="200"/>
      <w:outlineLvl w:val="2"/>
    </w:pPr>
    <w:rPr>
      <w:rFonts w:ascii="Calibri" w:cs="Calibri" w:eastAsia="Calibri" w:hAnsi="Calibri"/>
      <w:b/>
      <w:bCs/>
      <w:color w:val="D4A57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Council 10 - Document strategique</dc:title>
  <dc:creator>Claude pour Constantin Serrier</dc:creator>
  <dc:description>Application IA conseil multi-agents pour entrepreneurs</dc:description>
  <cp:lastModifiedBy>Un-named</cp:lastModifiedBy>
  <cp:revision>1</cp:revision>
  <dcterms:created xsi:type="dcterms:W3CDTF">2026-05-01T23:33:17.485Z</dcterms:created>
  <dcterms:modified xsi:type="dcterms:W3CDTF">2026-05-01T23:33:17.485Z</dcterms:modified>
</cp:coreProperties>
</file>

<file path=docProps/custom.xml><?xml version="1.0" encoding="utf-8"?>
<Properties xmlns="http://schemas.openxmlformats.org/officeDocument/2006/custom-properties" xmlns:vt="http://schemas.openxmlformats.org/officeDocument/2006/docPropsVTypes"/>
</file>